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05A02" w14:textId="77777777" w:rsidR="00EB100F" w:rsidRPr="00095468" w:rsidRDefault="00EB100F" w:rsidP="00EB100F">
      <w:pPr>
        <w:jc w:val="center"/>
      </w:pPr>
      <w:r w:rsidRPr="00095468">
        <w:t xml:space="preserve">Отчет </w:t>
      </w:r>
    </w:p>
    <w:p w14:paraId="2439E35B" w14:textId="0B133A92" w:rsidR="00EB100F" w:rsidRPr="00095468" w:rsidRDefault="00771F28" w:rsidP="00606957">
      <w:pPr>
        <w:spacing w:line="240" w:lineRule="exact"/>
        <w:jc w:val="center"/>
      </w:pPr>
      <w:r w:rsidRPr="00771F28">
        <w:t>о ходе реализации и оценке эффективности реализации муниципальной программы</w:t>
      </w:r>
      <w:r>
        <w:t xml:space="preserve"> </w:t>
      </w:r>
      <w:r w:rsidR="000211CB">
        <w:t>«</w:t>
      </w:r>
      <w:r w:rsidR="00EB100F" w:rsidRPr="00095468">
        <w:t xml:space="preserve">Содействие развитию малого и среднего предпринимательства в </w:t>
      </w:r>
      <w:r w:rsidR="00526FCB">
        <w:t>городе</w:t>
      </w:r>
      <w:r w:rsidR="00EB100F" w:rsidRPr="00095468">
        <w:t xml:space="preserve"> Комсомольск</w:t>
      </w:r>
      <w:r w:rsidR="00526FCB">
        <w:t>е</w:t>
      </w:r>
      <w:r w:rsidR="00EB100F" w:rsidRPr="00095468">
        <w:t>-на-Амуре</w:t>
      </w:r>
      <w:r w:rsidR="000211CB">
        <w:t>»</w:t>
      </w:r>
    </w:p>
    <w:p w14:paraId="5BD3F1B9" w14:textId="35C49CC8" w:rsidR="00EB100F" w:rsidRDefault="00EB100F" w:rsidP="00606957">
      <w:pPr>
        <w:spacing w:line="240" w:lineRule="exact"/>
        <w:jc w:val="center"/>
      </w:pPr>
      <w:r w:rsidRPr="00095468">
        <w:t>за 20</w:t>
      </w:r>
      <w:r w:rsidR="007E3F93" w:rsidRPr="00095468">
        <w:t>2</w:t>
      </w:r>
      <w:r w:rsidR="00B77721">
        <w:t>4</w:t>
      </w:r>
      <w:r w:rsidR="00771F28">
        <w:t xml:space="preserve"> год</w:t>
      </w:r>
    </w:p>
    <w:p w14:paraId="7D921AE0" w14:textId="51B71CF4" w:rsidR="00493773" w:rsidRDefault="00493773"/>
    <w:p w14:paraId="62EFDBA1" w14:textId="77777777" w:rsidR="00EB100F" w:rsidRPr="00B564B3" w:rsidRDefault="004A1BC5" w:rsidP="004A1BC5">
      <w:pPr>
        <w:jc w:val="center"/>
      </w:pPr>
      <w:r w:rsidRPr="00B564B3">
        <w:t>Пояснительная записка</w:t>
      </w:r>
    </w:p>
    <w:p w14:paraId="26C99937" w14:textId="0E3062E3" w:rsidR="004A1BC5" w:rsidRDefault="004A1BC5" w:rsidP="007142F5">
      <w:pPr>
        <w:ind w:firstLine="709"/>
      </w:pPr>
    </w:p>
    <w:p w14:paraId="19D9A6A8" w14:textId="6AC9905A" w:rsidR="00134824" w:rsidRDefault="00134824" w:rsidP="00B77721">
      <w:pPr>
        <w:ind w:firstLine="709"/>
        <w:jc w:val="both"/>
        <w:rPr>
          <w:rFonts w:eastAsia="MS Mincho"/>
          <w:spacing w:val="-4"/>
          <w:kern w:val="1"/>
          <w:lang w:eastAsia="ar-SA"/>
        </w:rPr>
      </w:pPr>
      <w:r w:rsidRPr="00134824">
        <w:rPr>
          <w:rFonts w:eastAsia="MS Mincho"/>
          <w:spacing w:val="-4"/>
          <w:kern w:val="1"/>
          <w:lang w:eastAsia="ar-SA"/>
        </w:rPr>
        <w:t xml:space="preserve">Поддержка и развитие малого </w:t>
      </w:r>
      <w:r>
        <w:rPr>
          <w:rFonts w:eastAsia="MS Mincho"/>
          <w:spacing w:val="-4"/>
          <w:kern w:val="1"/>
          <w:lang w:eastAsia="ar-SA"/>
        </w:rPr>
        <w:t xml:space="preserve">и среднего предпринимательства (далее – МСП) </w:t>
      </w:r>
      <w:r w:rsidRPr="00134824">
        <w:rPr>
          <w:rFonts w:eastAsia="MS Mincho"/>
          <w:spacing w:val="-4"/>
          <w:kern w:val="1"/>
          <w:lang w:eastAsia="ar-SA"/>
        </w:rPr>
        <w:t xml:space="preserve">в современных условиях были и остаются приоритетными направлениями работы администрации города </w:t>
      </w:r>
      <w:r>
        <w:rPr>
          <w:rFonts w:eastAsia="MS Mincho"/>
          <w:spacing w:val="-4"/>
          <w:kern w:val="1"/>
          <w:lang w:eastAsia="ar-SA"/>
        </w:rPr>
        <w:t>Комсомольска-на-Амуре.</w:t>
      </w:r>
    </w:p>
    <w:p w14:paraId="29059CF8" w14:textId="3E430758" w:rsidR="00134824" w:rsidRPr="00B77721" w:rsidRDefault="00134824" w:rsidP="00134824">
      <w:pPr>
        <w:ind w:firstLine="709"/>
        <w:jc w:val="both"/>
        <w:rPr>
          <w:rFonts w:eastAsia="MS Mincho"/>
          <w:spacing w:val="-4"/>
          <w:kern w:val="1"/>
          <w:lang w:eastAsia="ar-SA"/>
        </w:rPr>
      </w:pPr>
      <w:r w:rsidRPr="00134824">
        <w:rPr>
          <w:rFonts w:eastAsia="MS Mincho"/>
          <w:spacing w:val="-4"/>
          <w:kern w:val="1"/>
          <w:lang w:eastAsia="ar-SA"/>
        </w:rPr>
        <w:t>Представители бизнеса вносят значительный вклад в развитие города Комсомольска-на-Амуре – способствуют созданию новых рабочих мест, пополнению местного бюджета, насыщению потребительского рынка товарами и услугами</w:t>
      </w:r>
      <w:r>
        <w:rPr>
          <w:rFonts w:eastAsia="MS Mincho"/>
          <w:spacing w:val="-4"/>
          <w:kern w:val="1"/>
          <w:lang w:eastAsia="ar-SA"/>
        </w:rPr>
        <w:t xml:space="preserve">, </w:t>
      </w:r>
      <w:r w:rsidRPr="00134824">
        <w:rPr>
          <w:rFonts w:eastAsia="MS Mincho"/>
          <w:spacing w:val="-4"/>
          <w:kern w:val="1"/>
          <w:lang w:eastAsia="ar-SA"/>
        </w:rPr>
        <w:t xml:space="preserve">обеспечивает экономическую самостоятельность значительной части населения. </w:t>
      </w:r>
      <w:r w:rsidRPr="00B77721">
        <w:rPr>
          <w:rFonts w:eastAsia="MS Mincho"/>
          <w:spacing w:val="-4"/>
          <w:kern w:val="1"/>
          <w:lang w:eastAsia="ar-SA"/>
        </w:rPr>
        <w:t>Малое предпринимательство в значительной степени способствует формированию конкурентной среды, а также установлению рыночного равновесия.</w:t>
      </w:r>
    </w:p>
    <w:p w14:paraId="2D0125BF" w14:textId="5936D2CE" w:rsidR="00134824" w:rsidRDefault="00823DC2" w:rsidP="00134824">
      <w:pPr>
        <w:ind w:firstLine="709"/>
        <w:jc w:val="both"/>
        <w:rPr>
          <w:rFonts w:eastAsia="Calibri"/>
        </w:rPr>
      </w:pPr>
      <w:r>
        <w:rPr>
          <w:rFonts w:eastAsia="Calibri"/>
        </w:rPr>
        <w:t>По состоянию на 1 января 2025 года</w:t>
      </w:r>
      <w:r w:rsidR="00134824" w:rsidRPr="00134824">
        <w:rPr>
          <w:rFonts w:eastAsia="Calibri"/>
        </w:rPr>
        <w:t xml:space="preserve"> в городе действуют 6 923 субъекта</w:t>
      </w:r>
      <w:r w:rsidR="00134824">
        <w:rPr>
          <w:rFonts w:eastAsia="Calibri"/>
        </w:rPr>
        <w:t xml:space="preserve"> МСП, что составляет 102,7%</w:t>
      </w:r>
      <w:r w:rsidR="00134824" w:rsidRPr="00134824">
        <w:rPr>
          <w:rFonts w:eastAsia="MS Mincho"/>
          <w:spacing w:val="-4"/>
          <w:kern w:val="1"/>
          <w:lang w:eastAsia="ar-SA"/>
        </w:rPr>
        <w:t xml:space="preserve"> </w:t>
      </w:r>
      <w:r w:rsidR="00134824" w:rsidRPr="00355725">
        <w:rPr>
          <w:rFonts w:eastAsia="MS Mincho"/>
          <w:spacing w:val="-4"/>
          <w:kern w:val="1"/>
          <w:lang w:eastAsia="ar-SA"/>
        </w:rPr>
        <w:t xml:space="preserve">к аналогичному периоду прошлого года (6 </w:t>
      </w:r>
      <w:r w:rsidR="00134824">
        <w:rPr>
          <w:rFonts w:eastAsia="MS Mincho"/>
          <w:spacing w:val="-4"/>
          <w:kern w:val="1"/>
          <w:lang w:eastAsia="ar-SA"/>
        </w:rPr>
        <w:t>744</w:t>
      </w:r>
      <w:r w:rsidR="00134824" w:rsidRPr="00355725">
        <w:rPr>
          <w:rFonts w:eastAsia="MS Mincho"/>
          <w:spacing w:val="-4"/>
          <w:kern w:val="1"/>
          <w:lang w:eastAsia="ar-SA"/>
        </w:rPr>
        <w:t xml:space="preserve"> единиц).  </w:t>
      </w:r>
      <w:r w:rsidR="00134824" w:rsidRPr="00755D30">
        <w:rPr>
          <w:rFonts w:eastAsia="Calibri"/>
        </w:rPr>
        <w:t>Динамика численности субъектов МСП представлена в таблице.</w:t>
      </w:r>
    </w:p>
    <w:p w14:paraId="65187355" w14:textId="760D77DD" w:rsidR="00134824" w:rsidRDefault="00134824" w:rsidP="00134824">
      <w:pPr>
        <w:ind w:firstLine="709"/>
        <w:jc w:val="both"/>
        <w:rPr>
          <w:rFonts w:eastAsia="Calibri"/>
        </w:rPr>
      </w:pPr>
    </w:p>
    <w:p w14:paraId="6950D061" w14:textId="26F478A2" w:rsidR="00134824" w:rsidRDefault="00134824" w:rsidP="00134824">
      <w:pPr>
        <w:spacing w:line="240" w:lineRule="exact"/>
        <w:jc w:val="both"/>
        <w:rPr>
          <w:rFonts w:eastAsia="MS Mincho"/>
          <w:spacing w:val="-4"/>
          <w:lang w:eastAsia="ja-JP"/>
        </w:rPr>
      </w:pPr>
      <w:r w:rsidRPr="00134824">
        <w:rPr>
          <w:rFonts w:eastAsia="MS Mincho"/>
          <w:spacing w:val="-4"/>
          <w:lang w:eastAsia="ja-JP"/>
        </w:rPr>
        <w:t>Таблица 1 – динамика численности субъектов МСП в 2022-2024 гг.</w:t>
      </w:r>
    </w:p>
    <w:p w14:paraId="0BC4A4FD" w14:textId="77777777" w:rsidR="00134824" w:rsidRPr="00134824" w:rsidRDefault="00134824" w:rsidP="00134824">
      <w:pPr>
        <w:spacing w:line="240" w:lineRule="exact"/>
        <w:jc w:val="both"/>
        <w:rPr>
          <w:rFonts w:eastAsia="MS Mincho"/>
          <w:spacing w:val="-4"/>
          <w:lang w:eastAsia="ja-JP"/>
        </w:rPr>
      </w:pPr>
    </w:p>
    <w:tbl>
      <w:tblPr>
        <w:tblW w:w="91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448"/>
        <w:gridCol w:w="448"/>
        <w:gridCol w:w="449"/>
        <w:gridCol w:w="946"/>
        <w:gridCol w:w="543"/>
        <w:gridCol w:w="543"/>
        <w:gridCol w:w="543"/>
        <w:gridCol w:w="968"/>
        <w:gridCol w:w="464"/>
        <w:gridCol w:w="464"/>
        <w:gridCol w:w="464"/>
        <w:gridCol w:w="1003"/>
      </w:tblGrid>
      <w:tr w:rsidR="00134824" w:rsidRPr="00134824" w14:paraId="7EB87A01" w14:textId="77777777" w:rsidTr="004C51F4">
        <w:trPr>
          <w:trHeight w:val="493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570C40" w14:textId="77777777" w:rsidR="00134824" w:rsidRPr="00134824" w:rsidRDefault="00134824" w:rsidP="00134824">
            <w:pPr>
              <w:spacing w:after="188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Категория субъектов малого и среднего предпринимательства</w:t>
            </w:r>
          </w:p>
        </w:tc>
        <w:tc>
          <w:tcPr>
            <w:tcW w:w="125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7DEC7D" w14:textId="77777777" w:rsidR="00134824" w:rsidRPr="00134824" w:rsidRDefault="00134824" w:rsidP="00134824">
            <w:pPr>
              <w:spacing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Юридические лица, ед.</w:t>
            </w:r>
          </w:p>
        </w:tc>
        <w:tc>
          <w:tcPr>
            <w:tcW w:w="14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26D8" w14:textId="77777777" w:rsidR="00134824" w:rsidRPr="00134824" w:rsidRDefault="00134824" w:rsidP="00134824">
            <w:pPr>
              <w:spacing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Индивидуальные предприниматели, ед.</w:t>
            </w:r>
          </w:p>
        </w:tc>
        <w:tc>
          <w:tcPr>
            <w:tcW w:w="1306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DF1F" w14:textId="77777777" w:rsidR="00134824" w:rsidRPr="00134824" w:rsidRDefault="00134824" w:rsidP="00134824">
            <w:pPr>
              <w:spacing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Всего, ед.</w:t>
            </w:r>
          </w:p>
        </w:tc>
      </w:tr>
      <w:tr w:rsidR="004C51F4" w:rsidRPr="00134824" w14:paraId="15197EF8" w14:textId="77777777" w:rsidTr="004C51F4">
        <w:trPr>
          <w:trHeight w:val="367"/>
        </w:trPr>
        <w:tc>
          <w:tcPr>
            <w:tcW w:w="10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2D7F17" w14:textId="77777777" w:rsidR="00134824" w:rsidRPr="00134824" w:rsidRDefault="00134824" w:rsidP="00134824">
            <w:pPr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713940" w14:textId="77777777" w:rsidR="00134824" w:rsidRPr="00134824" w:rsidRDefault="00134824" w:rsidP="00134824">
            <w:pPr>
              <w:spacing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ADFFF4" w14:textId="77777777" w:rsidR="00134824" w:rsidRPr="00134824" w:rsidRDefault="00134824" w:rsidP="00134824">
            <w:pPr>
              <w:spacing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40F3DB" w14:textId="77777777" w:rsidR="00134824" w:rsidRPr="00134824" w:rsidRDefault="00134824" w:rsidP="00134824">
            <w:pPr>
              <w:spacing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D7E596" w14:textId="77777777" w:rsidR="00134824" w:rsidRPr="00134824" w:rsidRDefault="00134824" w:rsidP="004C51F4">
            <w:pPr>
              <w:spacing w:after="60"/>
              <w:ind w:left="-57" w:right="-57"/>
              <w:jc w:val="center"/>
              <w:rPr>
                <w:rFonts w:eastAsia="Times New Roman"/>
                <w:color w:val="333333"/>
                <w:spacing w:val="-4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pacing w:val="-4"/>
                <w:sz w:val="20"/>
                <w:szCs w:val="20"/>
                <w:lang w:eastAsia="ru-RU"/>
              </w:rPr>
              <w:t>Отклонение 2024/ 2023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8F7AD7" w14:textId="77777777" w:rsidR="00134824" w:rsidRPr="00134824" w:rsidRDefault="00134824" w:rsidP="00134824">
            <w:pPr>
              <w:spacing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6871A8" w14:textId="77777777" w:rsidR="00134824" w:rsidRPr="00134824" w:rsidRDefault="00134824" w:rsidP="00134824">
            <w:pPr>
              <w:spacing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DD14EB" w14:textId="77777777" w:rsidR="00134824" w:rsidRPr="00134824" w:rsidRDefault="00134824" w:rsidP="00134824">
            <w:pPr>
              <w:spacing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61E0" w14:textId="77777777" w:rsidR="00134824" w:rsidRPr="00134824" w:rsidRDefault="00134824" w:rsidP="004C51F4">
            <w:pPr>
              <w:spacing w:after="60"/>
              <w:ind w:left="-57" w:right="-57"/>
              <w:jc w:val="center"/>
              <w:rPr>
                <w:rFonts w:eastAsia="Times New Roman"/>
                <w:color w:val="333333"/>
                <w:spacing w:val="-4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pacing w:val="-4"/>
                <w:sz w:val="20"/>
                <w:szCs w:val="20"/>
                <w:lang w:eastAsia="ru-RU"/>
              </w:rPr>
              <w:t>Отклонение 2024/ 2023</w:t>
            </w:r>
          </w:p>
        </w:tc>
        <w:tc>
          <w:tcPr>
            <w:tcW w:w="25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4F946E" w14:textId="77777777" w:rsidR="00134824" w:rsidRPr="00134824" w:rsidRDefault="00134824" w:rsidP="00134824">
            <w:pPr>
              <w:spacing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FE39CB" w14:textId="77777777" w:rsidR="00134824" w:rsidRPr="00134824" w:rsidRDefault="00134824" w:rsidP="00134824">
            <w:pPr>
              <w:spacing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FC0812" w14:textId="77777777" w:rsidR="00134824" w:rsidRPr="00134824" w:rsidRDefault="00134824" w:rsidP="00134824">
            <w:pPr>
              <w:spacing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CE86E3" w14:textId="77777777" w:rsidR="00134824" w:rsidRPr="00134824" w:rsidRDefault="00134824" w:rsidP="00134824">
            <w:pPr>
              <w:spacing w:after="60"/>
              <w:jc w:val="center"/>
              <w:rPr>
                <w:rFonts w:eastAsia="Times New Roman"/>
                <w:color w:val="333333"/>
                <w:spacing w:val="-4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pacing w:val="-4"/>
                <w:sz w:val="20"/>
                <w:szCs w:val="20"/>
                <w:lang w:eastAsia="ru-RU"/>
              </w:rPr>
              <w:t>Отклонение 2024/ 2023</w:t>
            </w:r>
          </w:p>
        </w:tc>
      </w:tr>
      <w:tr w:rsidR="004C51F4" w:rsidRPr="00134824" w14:paraId="772BFD12" w14:textId="77777777" w:rsidTr="004C51F4">
        <w:trPr>
          <w:trHeight w:val="234"/>
        </w:trPr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28B508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B5AB94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  <w:t>2578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842508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  <w:t>2531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8D7CB3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  <w:t>2469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F59BDE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  <w:t>-62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69805E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  <w:t>4012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6E8591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  <w:t>4213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06E96A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  <w:t>4454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3543FA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  <w:t>+241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7D97B4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  <w:t>6590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318B9C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  <w:t>6744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C5DADB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  <w:t>6923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69CEB5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  <w:t>+179</w:t>
            </w:r>
          </w:p>
        </w:tc>
      </w:tr>
      <w:tr w:rsidR="004C51F4" w:rsidRPr="00134824" w14:paraId="1C8C79EB" w14:textId="77777777" w:rsidTr="004C51F4">
        <w:trPr>
          <w:trHeight w:val="225"/>
        </w:trPr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989D8A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Средние предприятия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E096AB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00E860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DF84F1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FBD1C4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AB193B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F3BBC9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77CF36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54FF24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CCEE94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E9902F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4D54E9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BF2F76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+3</w:t>
            </w:r>
          </w:p>
        </w:tc>
      </w:tr>
      <w:tr w:rsidR="004C51F4" w:rsidRPr="00134824" w14:paraId="086B1F15" w14:textId="77777777" w:rsidTr="004C51F4">
        <w:trPr>
          <w:trHeight w:val="234"/>
        </w:trPr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2DDAC0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Малые предприятия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2DE24B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4F62B0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89D521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C208A3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D23126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B47A23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BE69F5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F39C4A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BFBD3E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CBBED3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64938C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7D351B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-14</w:t>
            </w:r>
          </w:p>
        </w:tc>
      </w:tr>
      <w:tr w:rsidR="004C51F4" w:rsidRPr="00134824" w14:paraId="57C8FC29" w14:textId="77777777" w:rsidTr="004C51F4">
        <w:trPr>
          <w:trHeight w:val="234"/>
        </w:trPr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942D0B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Микропредприятия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90AC41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2409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2D085E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2370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A6ADF4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2315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6C3F23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-55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BEDEDB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3951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7859CA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4158</w:t>
            </w:r>
          </w:p>
        </w:tc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19793F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4403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4D17B6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+245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93994E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6360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6D064C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6528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977DF4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6718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C7EC81" w14:textId="77777777" w:rsidR="00134824" w:rsidRPr="00134824" w:rsidRDefault="00134824" w:rsidP="00134824">
            <w:pPr>
              <w:spacing w:before="60" w:after="60"/>
              <w:jc w:val="center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13482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+190</w:t>
            </w:r>
          </w:p>
        </w:tc>
      </w:tr>
    </w:tbl>
    <w:p w14:paraId="6966737F" w14:textId="1AFF8FCA" w:rsidR="00134824" w:rsidRDefault="00134824" w:rsidP="00355725">
      <w:pPr>
        <w:ind w:firstLine="709"/>
        <w:jc w:val="both"/>
        <w:rPr>
          <w:rFonts w:eastAsia="MS Mincho"/>
          <w:spacing w:val="-4"/>
          <w:kern w:val="1"/>
          <w:lang w:eastAsia="ar-SA"/>
        </w:rPr>
      </w:pPr>
    </w:p>
    <w:p w14:paraId="548E6425" w14:textId="77777777" w:rsidR="00415970" w:rsidRDefault="00415970" w:rsidP="00415970">
      <w:pPr>
        <w:ind w:firstLine="709"/>
        <w:jc w:val="both"/>
        <w:rPr>
          <w:spacing w:val="-4"/>
        </w:rPr>
      </w:pPr>
      <w:r>
        <w:rPr>
          <w:rFonts w:eastAsia="MS Mincho"/>
          <w:spacing w:val="-4"/>
          <w:kern w:val="1"/>
          <w:lang w:eastAsia="ar-SA"/>
        </w:rPr>
        <w:t xml:space="preserve">Количество субъектов МСП в 2024 году достигло наивысшего значения с 2020 года, что свидетельствует о преодолении кризисных явлений в экономике, вызванных распространением </w:t>
      </w:r>
      <w:r w:rsidRPr="00823DC2">
        <w:rPr>
          <w:spacing w:val="-4"/>
        </w:rPr>
        <w:t xml:space="preserve">новой </w:t>
      </w:r>
      <w:proofErr w:type="spellStart"/>
      <w:r w:rsidRPr="00823DC2">
        <w:rPr>
          <w:spacing w:val="-4"/>
        </w:rPr>
        <w:t>коронавирусной</w:t>
      </w:r>
      <w:proofErr w:type="spellEnd"/>
      <w:r w:rsidRPr="00823DC2">
        <w:rPr>
          <w:spacing w:val="-4"/>
        </w:rPr>
        <w:t xml:space="preserve"> инфекции</w:t>
      </w:r>
      <w:r>
        <w:rPr>
          <w:spacing w:val="-4"/>
        </w:rPr>
        <w:t xml:space="preserve"> </w:t>
      </w:r>
      <w:r w:rsidRPr="00823DC2">
        <w:rPr>
          <w:spacing w:val="-4"/>
        </w:rPr>
        <w:t>и внешним санкционным давлением</w:t>
      </w:r>
      <w:r>
        <w:rPr>
          <w:spacing w:val="-4"/>
        </w:rPr>
        <w:t>.</w:t>
      </w:r>
    </w:p>
    <w:p w14:paraId="3CF933AE" w14:textId="2E150587" w:rsidR="00DB44FF" w:rsidRDefault="00DB44FF" w:rsidP="00355725">
      <w:pPr>
        <w:ind w:firstLine="709"/>
        <w:jc w:val="both"/>
        <w:rPr>
          <w:rFonts w:eastAsia="MS Mincho"/>
          <w:spacing w:val="-4"/>
          <w:kern w:val="1"/>
          <w:lang w:eastAsia="ar-SA"/>
        </w:rPr>
      </w:pPr>
      <w:r>
        <w:rPr>
          <w:rFonts w:eastAsia="MS Mincho"/>
          <w:spacing w:val="-4"/>
          <w:kern w:val="1"/>
          <w:lang w:eastAsia="ar-SA"/>
        </w:rPr>
        <w:t xml:space="preserve">По предварительным оценкам по состоянию на 1 января 2025 года количество физических лиц, </w:t>
      </w:r>
      <w:r w:rsidRPr="00823DC2">
        <w:rPr>
          <w:rFonts w:eastAsia="MS Mincho"/>
          <w:spacing w:val="-4"/>
          <w:kern w:val="1"/>
          <w:lang w:eastAsia="ar-SA"/>
        </w:rPr>
        <w:t xml:space="preserve">применяющих специальный налоговый режим </w:t>
      </w:r>
      <w:r w:rsidR="000211CB">
        <w:rPr>
          <w:rFonts w:eastAsia="MS Mincho"/>
          <w:spacing w:val="-4"/>
          <w:kern w:val="1"/>
          <w:lang w:eastAsia="ar-SA"/>
        </w:rPr>
        <w:t>«</w:t>
      </w:r>
      <w:r w:rsidRPr="00823DC2">
        <w:rPr>
          <w:rFonts w:eastAsia="MS Mincho"/>
          <w:spacing w:val="-4"/>
          <w:kern w:val="1"/>
          <w:lang w:eastAsia="ar-SA"/>
        </w:rPr>
        <w:t>Налог на профессиональный доход</w:t>
      </w:r>
      <w:r w:rsidR="000211CB">
        <w:rPr>
          <w:rFonts w:eastAsia="MS Mincho"/>
          <w:spacing w:val="-4"/>
          <w:kern w:val="1"/>
          <w:lang w:eastAsia="ar-SA"/>
        </w:rPr>
        <w:t>»</w:t>
      </w:r>
      <w:r>
        <w:rPr>
          <w:rFonts w:eastAsia="MS Mincho"/>
          <w:spacing w:val="-4"/>
          <w:kern w:val="1"/>
          <w:lang w:eastAsia="ar-SA"/>
        </w:rPr>
        <w:t xml:space="preserve"> и не являющихся индивидуальными предпринимателями</w:t>
      </w:r>
      <w:r w:rsidR="00151A52">
        <w:rPr>
          <w:rFonts w:eastAsia="MS Mincho"/>
          <w:spacing w:val="-4"/>
          <w:kern w:val="1"/>
          <w:lang w:eastAsia="ar-SA"/>
        </w:rPr>
        <w:t xml:space="preserve"> (далее – самозанятый)</w:t>
      </w:r>
      <w:r>
        <w:rPr>
          <w:rFonts w:eastAsia="MS Mincho"/>
          <w:spacing w:val="-4"/>
          <w:kern w:val="1"/>
          <w:lang w:eastAsia="ar-SA"/>
        </w:rPr>
        <w:t>, составляет 12 357 человек, что выше уровня 2023 года на 35% (9 128 человек в 2023 году).</w:t>
      </w:r>
    </w:p>
    <w:p w14:paraId="4DCBF527" w14:textId="6CB3F002" w:rsidR="00415970" w:rsidRDefault="00355725" w:rsidP="00355725">
      <w:pPr>
        <w:ind w:firstLine="709"/>
        <w:jc w:val="both"/>
        <w:rPr>
          <w:rFonts w:eastAsia="MS Mincho"/>
          <w:spacing w:val="-4"/>
          <w:kern w:val="1"/>
          <w:lang w:eastAsia="ar-SA"/>
        </w:rPr>
      </w:pPr>
      <w:r w:rsidRPr="00355725">
        <w:rPr>
          <w:rFonts w:eastAsia="MS Mincho"/>
          <w:spacing w:val="-4"/>
          <w:kern w:val="1"/>
          <w:lang w:eastAsia="ar-SA"/>
        </w:rPr>
        <w:t xml:space="preserve">В сфере малого и среднего бизнеса города Комсомольска-на-Амуре (включая самозанятых граждан) занято </w:t>
      </w:r>
      <w:r w:rsidR="00415970">
        <w:rPr>
          <w:rFonts w:eastAsia="MS Mincho"/>
          <w:spacing w:val="-4"/>
          <w:kern w:val="1"/>
          <w:lang w:eastAsia="ar-SA"/>
        </w:rPr>
        <w:t>около 32,</w:t>
      </w:r>
      <w:r w:rsidR="00151A52">
        <w:rPr>
          <w:rFonts w:eastAsia="MS Mincho"/>
          <w:spacing w:val="-4"/>
          <w:kern w:val="1"/>
          <w:lang w:eastAsia="ar-SA"/>
        </w:rPr>
        <w:t>9</w:t>
      </w:r>
      <w:r w:rsidR="00415970">
        <w:rPr>
          <w:rFonts w:eastAsia="MS Mincho"/>
          <w:spacing w:val="-4"/>
          <w:kern w:val="1"/>
          <w:lang w:eastAsia="ar-SA"/>
        </w:rPr>
        <w:t xml:space="preserve"> тыс. человек, что выше уровня 2023 года на </w:t>
      </w:r>
      <w:r w:rsidR="00151A52">
        <w:rPr>
          <w:rFonts w:eastAsia="MS Mincho"/>
          <w:spacing w:val="-4"/>
          <w:kern w:val="1"/>
          <w:lang w:eastAsia="ar-SA"/>
        </w:rPr>
        <w:t>7,9% (30,5 тыс. человек в 2023 году).</w:t>
      </w:r>
    </w:p>
    <w:p w14:paraId="4E0B7C2E" w14:textId="74BD0A0E" w:rsidR="00151A52" w:rsidRDefault="00151A52" w:rsidP="00355725">
      <w:pPr>
        <w:ind w:firstLine="709"/>
        <w:jc w:val="both"/>
        <w:rPr>
          <w:rFonts w:eastAsia="MS Mincho"/>
          <w:spacing w:val="-4"/>
          <w:kern w:val="1"/>
          <w:lang w:eastAsia="ar-SA"/>
        </w:rPr>
      </w:pPr>
      <w:r>
        <w:rPr>
          <w:rFonts w:eastAsia="MS Mincho"/>
          <w:spacing w:val="-4"/>
          <w:kern w:val="1"/>
          <w:lang w:eastAsia="ar-SA"/>
        </w:rPr>
        <w:lastRenderedPageBreak/>
        <w:t>Несмотря на общий рост численности занятых в секторе МСП, количество наемных работников в 2024 году сократилось на 1,1 тыс. человек по сравнению с уровнем 2023 года, что обусловлено привлечением субъектами МСП самозанятых граждан к выполнению работ (оказанием услуг) ранее выполнявшимися штатными сотрудниками. Данная тенденция также прослеживается по сокращению числа малых предприятий в общем количестве субъектов МСП.</w:t>
      </w:r>
    </w:p>
    <w:p w14:paraId="4CE0ECE2" w14:textId="35D60DE2" w:rsidR="00FE13C8" w:rsidRDefault="00355725" w:rsidP="00355725">
      <w:pPr>
        <w:ind w:firstLine="709"/>
        <w:jc w:val="both"/>
        <w:rPr>
          <w:rFonts w:eastAsia="MS Mincho"/>
          <w:color w:val="000000" w:themeColor="text1"/>
          <w:spacing w:val="-4"/>
          <w:kern w:val="1"/>
          <w:lang w:eastAsia="ar-SA"/>
        </w:rPr>
      </w:pPr>
      <w:r w:rsidRPr="00355725">
        <w:rPr>
          <w:rFonts w:eastAsia="MS Mincho"/>
          <w:spacing w:val="-4"/>
          <w:kern w:val="1"/>
          <w:lang w:eastAsia="ar-SA"/>
        </w:rPr>
        <w:t xml:space="preserve">Выручка от реализации </w:t>
      </w:r>
      <w:r w:rsidRPr="00355725">
        <w:rPr>
          <w:rFonts w:eastAsia="MS Mincho"/>
          <w:color w:val="000000" w:themeColor="text1"/>
          <w:spacing w:val="-4"/>
          <w:kern w:val="1"/>
          <w:lang w:eastAsia="ar-SA"/>
        </w:rPr>
        <w:t>товаров, работ, услуг по фактическим (основным и дополнительным) видам экономической деятельности субъектов МСП в 202</w:t>
      </w:r>
      <w:r w:rsidR="00992569">
        <w:rPr>
          <w:rFonts w:eastAsia="MS Mincho"/>
          <w:color w:val="000000" w:themeColor="text1"/>
          <w:spacing w:val="-4"/>
          <w:kern w:val="1"/>
          <w:lang w:eastAsia="ar-SA"/>
        </w:rPr>
        <w:t>4</w:t>
      </w:r>
      <w:r w:rsidRPr="00355725">
        <w:rPr>
          <w:rFonts w:eastAsia="MS Mincho"/>
          <w:color w:val="000000" w:themeColor="text1"/>
          <w:spacing w:val="-4"/>
          <w:kern w:val="1"/>
          <w:lang w:eastAsia="ar-SA"/>
        </w:rPr>
        <w:t xml:space="preserve"> году оценочно составила </w:t>
      </w:r>
      <w:r w:rsidR="00FE13C8" w:rsidRPr="00FE13C8">
        <w:rPr>
          <w:rFonts w:eastAsia="MS Mincho"/>
          <w:color w:val="000000" w:themeColor="text1"/>
          <w:spacing w:val="-4"/>
          <w:kern w:val="1"/>
          <w:lang w:eastAsia="ar-SA"/>
        </w:rPr>
        <w:t>92</w:t>
      </w:r>
      <w:r w:rsidR="00FE13C8">
        <w:rPr>
          <w:rFonts w:eastAsia="MS Mincho"/>
          <w:color w:val="000000" w:themeColor="text1"/>
          <w:spacing w:val="-4"/>
          <w:kern w:val="1"/>
          <w:lang w:eastAsia="ar-SA"/>
        </w:rPr>
        <w:t> </w:t>
      </w:r>
      <w:r w:rsidR="00FE13C8" w:rsidRPr="00FE13C8">
        <w:rPr>
          <w:rFonts w:eastAsia="MS Mincho"/>
          <w:color w:val="000000" w:themeColor="text1"/>
          <w:spacing w:val="-4"/>
          <w:kern w:val="1"/>
          <w:lang w:eastAsia="ar-SA"/>
        </w:rPr>
        <w:t>653</w:t>
      </w:r>
      <w:r w:rsidR="00FE13C8">
        <w:rPr>
          <w:rFonts w:eastAsia="MS Mincho"/>
          <w:color w:val="000000" w:themeColor="text1"/>
          <w:spacing w:val="-4"/>
          <w:kern w:val="1"/>
          <w:lang w:eastAsia="ar-SA"/>
        </w:rPr>
        <w:t xml:space="preserve">,3 млн рублей </w:t>
      </w:r>
      <w:r w:rsidR="00FE13C8" w:rsidRPr="00355725">
        <w:rPr>
          <w:rFonts w:eastAsia="MS Mincho"/>
          <w:color w:val="000000" w:themeColor="text1"/>
          <w:spacing w:val="-4"/>
          <w:kern w:val="1"/>
          <w:lang w:eastAsia="ar-SA"/>
        </w:rPr>
        <w:t>что выше достигнутого уровня 202</w:t>
      </w:r>
      <w:r w:rsidR="00992569">
        <w:rPr>
          <w:rFonts w:eastAsia="MS Mincho"/>
          <w:color w:val="000000" w:themeColor="text1"/>
          <w:spacing w:val="-4"/>
          <w:kern w:val="1"/>
          <w:lang w:eastAsia="ar-SA"/>
        </w:rPr>
        <w:t>3</w:t>
      </w:r>
      <w:r w:rsidR="00FE13C8" w:rsidRPr="00355725">
        <w:rPr>
          <w:rFonts w:eastAsia="MS Mincho"/>
          <w:color w:val="000000" w:themeColor="text1"/>
          <w:spacing w:val="-4"/>
          <w:kern w:val="1"/>
          <w:lang w:eastAsia="ar-SA"/>
        </w:rPr>
        <w:t xml:space="preserve"> года на </w:t>
      </w:r>
      <w:r w:rsidR="00FE13C8">
        <w:rPr>
          <w:rFonts w:eastAsia="MS Mincho"/>
          <w:color w:val="000000" w:themeColor="text1"/>
          <w:spacing w:val="-4"/>
          <w:kern w:val="1"/>
          <w:lang w:eastAsia="ar-SA"/>
        </w:rPr>
        <w:t>20</w:t>
      </w:r>
      <w:r w:rsidR="00FE13C8" w:rsidRPr="00355725">
        <w:rPr>
          <w:rFonts w:eastAsia="MS Mincho"/>
          <w:color w:val="000000" w:themeColor="text1"/>
          <w:spacing w:val="-4"/>
          <w:kern w:val="1"/>
          <w:lang w:eastAsia="ar-SA"/>
        </w:rPr>
        <w:t>%.</w:t>
      </w:r>
    </w:p>
    <w:p w14:paraId="6BBC64FE" w14:textId="77777777" w:rsidR="00355725" w:rsidRPr="00355725" w:rsidRDefault="00355725" w:rsidP="00355725">
      <w:pPr>
        <w:ind w:firstLine="709"/>
        <w:jc w:val="both"/>
        <w:rPr>
          <w:rFonts w:eastAsia="MS Mincho"/>
          <w:spacing w:val="-4"/>
          <w:kern w:val="1"/>
          <w:lang w:eastAsia="ar-SA"/>
        </w:rPr>
      </w:pPr>
      <w:r w:rsidRPr="00355725">
        <w:rPr>
          <w:rFonts w:eastAsia="MS Mincho"/>
          <w:spacing w:val="-4"/>
          <w:kern w:val="1"/>
          <w:lang w:eastAsia="ar-SA"/>
        </w:rPr>
        <w:t>Малое и среднее предпринимательство представлено во всех отраслях экономики города.</w:t>
      </w:r>
    </w:p>
    <w:p w14:paraId="357B4CA6" w14:textId="7D846B39" w:rsidR="00355725" w:rsidRDefault="00355725" w:rsidP="00355725">
      <w:pPr>
        <w:ind w:firstLine="709"/>
        <w:jc w:val="both"/>
        <w:rPr>
          <w:rFonts w:eastAsia="MS Mincho"/>
          <w:spacing w:val="-4"/>
          <w:kern w:val="1"/>
          <w:lang w:eastAsia="ar-SA"/>
        </w:rPr>
      </w:pPr>
      <w:r w:rsidRPr="00355725">
        <w:rPr>
          <w:rFonts w:eastAsia="MS Mincho"/>
          <w:spacing w:val="-4"/>
          <w:kern w:val="1"/>
          <w:lang w:eastAsia="ar-SA"/>
        </w:rPr>
        <w:t>Структура субъектов малого и среднего бизнеса по видам экономической деятельности в 202</w:t>
      </w:r>
      <w:r w:rsidR="00FE13C8">
        <w:rPr>
          <w:rFonts w:eastAsia="MS Mincho"/>
          <w:spacing w:val="-4"/>
          <w:kern w:val="1"/>
          <w:lang w:eastAsia="ar-SA"/>
        </w:rPr>
        <w:t>4</w:t>
      </w:r>
      <w:r w:rsidRPr="00355725">
        <w:rPr>
          <w:rFonts w:eastAsia="MS Mincho"/>
          <w:spacing w:val="-4"/>
          <w:kern w:val="1"/>
          <w:lang w:eastAsia="ar-SA"/>
        </w:rPr>
        <w:t xml:space="preserve"> году представлена следующим образом: </w:t>
      </w:r>
    </w:p>
    <w:p w14:paraId="56385731" w14:textId="3CD81B92" w:rsidR="00355725" w:rsidRPr="00355725" w:rsidRDefault="00355725" w:rsidP="00355725">
      <w:pPr>
        <w:ind w:firstLine="709"/>
        <w:jc w:val="both"/>
        <w:rPr>
          <w:rFonts w:eastAsia="MS Mincho"/>
          <w:spacing w:val="-4"/>
          <w:kern w:val="1"/>
          <w:lang w:eastAsia="ar-SA"/>
        </w:rPr>
      </w:pPr>
      <w:r w:rsidRPr="00355725">
        <w:rPr>
          <w:rFonts w:eastAsia="MS Mincho"/>
          <w:spacing w:val="-4"/>
          <w:kern w:val="1"/>
          <w:lang w:eastAsia="ar-SA"/>
        </w:rPr>
        <w:t>- оптовая и розничная торговля – 35,</w:t>
      </w:r>
      <w:r w:rsidR="00FE13C8">
        <w:rPr>
          <w:rFonts w:eastAsia="MS Mincho"/>
          <w:spacing w:val="-4"/>
          <w:kern w:val="1"/>
          <w:lang w:eastAsia="ar-SA"/>
        </w:rPr>
        <w:t>08</w:t>
      </w:r>
      <w:r w:rsidRPr="00355725">
        <w:rPr>
          <w:rFonts w:eastAsia="MS Mincho"/>
          <w:spacing w:val="-4"/>
          <w:kern w:val="1"/>
          <w:lang w:eastAsia="ar-SA"/>
        </w:rPr>
        <w:t>%;</w:t>
      </w:r>
    </w:p>
    <w:p w14:paraId="4A75D94D" w14:textId="03F7D252" w:rsidR="00355725" w:rsidRPr="00355725" w:rsidRDefault="00355725" w:rsidP="00355725">
      <w:pPr>
        <w:ind w:firstLine="709"/>
        <w:jc w:val="both"/>
        <w:rPr>
          <w:rFonts w:eastAsia="MS Mincho"/>
          <w:spacing w:val="-4"/>
          <w:kern w:val="1"/>
          <w:lang w:eastAsia="ar-SA"/>
        </w:rPr>
      </w:pPr>
      <w:r w:rsidRPr="00355725">
        <w:rPr>
          <w:rFonts w:eastAsia="MS Mincho"/>
          <w:spacing w:val="-4"/>
          <w:kern w:val="1"/>
          <w:lang w:eastAsia="ar-SA"/>
        </w:rPr>
        <w:t>- транспорт и связь – 15,</w:t>
      </w:r>
      <w:r w:rsidR="00FE13C8">
        <w:rPr>
          <w:rFonts w:eastAsia="MS Mincho"/>
          <w:spacing w:val="-4"/>
          <w:kern w:val="1"/>
          <w:lang w:eastAsia="ar-SA"/>
        </w:rPr>
        <w:t>46</w:t>
      </w:r>
      <w:r w:rsidRPr="00355725">
        <w:rPr>
          <w:rFonts w:eastAsia="MS Mincho"/>
          <w:spacing w:val="-4"/>
          <w:kern w:val="1"/>
          <w:lang w:eastAsia="ar-SA"/>
        </w:rPr>
        <w:t>%;</w:t>
      </w:r>
    </w:p>
    <w:p w14:paraId="261E4B65" w14:textId="645AA1FB" w:rsidR="00355725" w:rsidRPr="00355725" w:rsidRDefault="00355725" w:rsidP="00355725">
      <w:pPr>
        <w:ind w:firstLine="709"/>
        <w:jc w:val="both"/>
        <w:rPr>
          <w:rFonts w:eastAsia="MS Mincho"/>
          <w:spacing w:val="-4"/>
          <w:kern w:val="1"/>
          <w:lang w:eastAsia="ar-SA"/>
        </w:rPr>
      </w:pPr>
      <w:r w:rsidRPr="00355725">
        <w:rPr>
          <w:rFonts w:eastAsia="MS Mincho"/>
          <w:spacing w:val="-4"/>
          <w:kern w:val="1"/>
          <w:lang w:eastAsia="ar-SA"/>
        </w:rPr>
        <w:t xml:space="preserve">- строительство – </w:t>
      </w:r>
      <w:r w:rsidR="00FE13C8">
        <w:rPr>
          <w:rFonts w:eastAsia="MS Mincho"/>
          <w:spacing w:val="-4"/>
          <w:kern w:val="1"/>
          <w:lang w:eastAsia="ar-SA"/>
        </w:rPr>
        <w:t>10,16</w:t>
      </w:r>
      <w:r w:rsidRPr="00355725">
        <w:rPr>
          <w:rFonts w:eastAsia="MS Mincho"/>
          <w:spacing w:val="-4"/>
          <w:kern w:val="1"/>
          <w:lang w:eastAsia="ar-SA"/>
        </w:rPr>
        <w:t>%;</w:t>
      </w:r>
    </w:p>
    <w:p w14:paraId="733F3529" w14:textId="77777777" w:rsidR="00355725" w:rsidRPr="00355725" w:rsidRDefault="00355725" w:rsidP="00355725">
      <w:pPr>
        <w:ind w:firstLine="709"/>
        <w:jc w:val="both"/>
        <w:rPr>
          <w:rFonts w:eastAsia="MS Mincho"/>
          <w:spacing w:val="-4"/>
          <w:kern w:val="1"/>
          <w:lang w:eastAsia="ar-SA"/>
        </w:rPr>
      </w:pPr>
      <w:r w:rsidRPr="00355725">
        <w:rPr>
          <w:rFonts w:eastAsia="MS Mincho"/>
          <w:spacing w:val="-4"/>
          <w:kern w:val="1"/>
          <w:lang w:eastAsia="ar-SA"/>
        </w:rPr>
        <w:t>- операции с недвижимым имуществом – 6,57%;</w:t>
      </w:r>
    </w:p>
    <w:p w14:paraId="5AE74D12" w14:textId="572F3028" w:rsidR="00355725" w:rsidRPr="00355725" w:rsidRDefault="00355725" w:rsidP="00355725">
      <w:pPr>
        <w:ind w:firstLine="709"/>
        <w:jc w:val="both"/>
        <w:rPr>
          <w:rFonts w:eastAsia="MS Mincho"/>
          <w:spacing w:val="-4"/>
          <w:kern w:val="1"/>
          <w:lang w:eastAsia="ar-SA"/>
        </w:rPr>
      </w:pPr>
      <w:r w:rsidRPr="00355725">
        <w:rPr>
          <w:rFonts w:eastAsia="MS Mincho"/>
          <w:spacing w:val="-4"/>
          <w:kern w:val="1"/>
          <w:lang w:eastAsia="ar-SA"/>
        </w:rPr>
        <w:t>- профессиональная, научно-техническая деятельность – 6,</w:t>
      </w:r>
      <w:r w:rsidR="00FE13C8">
        <w:rPr>
          <w:rFonts w:eastAsia="MS Mincho"/>
          <w:spacing w:val="-4"/>
          <w:kern w:val="1"/>
          <w:lang w:eastAsia="ar-SA"/>
        </w:rPr>
        <w:t>57</w:t>
      </w:r>
      <w:r w:rsidRPr="00355725">
        <w:rPr>
          <w:rFonts w:eastAsia="MS Mincho"/>
          <w:spacing w:val="-4"/>
          <w:kern w:val="1"/>
          <w:lang w:eastAsia="ar-SA"/>
        </w:rPr>
        <w:t>%;</w:t>
      </w:r>
    </w:p>
    <w:p w14:paraId="76848A05" w14:textId="59604096" w:rsidR="00355725" w:rsidRPr="00355725" w:rsidRDefault="00355725" w:rsidP="00355725">
      <w:pPr>
        <w:ind w:firstLine="709"/>
        <w:jc w:val="both"/>
        <w:rPr>
          <w:rFonts w:eastAsia="MS Mincho"/>
          <w:spacing w:val="-4"/>
          <w:kern w:val="1"/>
          <w:lang w:eastAsia="ar-SA"/>
        </w:rPr>
      </w:pPr>
      <w:r w:rsidRPr="00355725">
        <w:rPr>
          <w:rFonts w:eastAsia="MS Mincho"/>
          <w:spacing w:val="-4"/>
          <w:kern w:val="1"/>
          <w:lang w:eastAsia="ar-SA"/>
        </w:rPr>
        <w:t>- обрабатывающие производства – 6,1</w:t>
      </w:r>
      <w:r w:rsidR="00FE13C8">
        <w:rPr>
          <w:rFonts w:eastAsia="MS Mincho"/>
          <w:spacing w:val="-4"/>
          <w:kern w:val="1"/>
          <w:lang w:eastAsia="ar-SA"/>
        </w:rPr>
        <w:t>1</w:t>
      </w:r>
      <w:r w:rsidRPr="00355725">
        <w:rPr>
          <w:rFonts w:eastAsia="MS Mincho"/>
          <w:spacing w:val="-4"/>
          <w:kern w:val="1"/>
          <w:lang w:eastAsia="ar-SA"/>
        </w:rPr>
        <w:t>%;</w:t>
      </w:r>
    </w:p>
    <w:p w14:paraId="55AFE3E4" w14:textId="44011BE1" w:rsidR="00355725" w:rsidRPr="00355725" w:rsidRDefault="00355725" w:rsidP="00355725">
      <w:pPr>
        <w:ind w:firstLine="709"/>
        <w:jc w:val="both"/>
        <w:rPr>
          <w:rFonts w:eastAsia="MS Mincho"/>
          <w:spacing w:val="-4"/>
          <w:kern w:val="1"/>
          <w:lang w:eastAsia="ar-SA"/>
        </w:rPr>
      </w:pPr>
      <w:r w:rsidRPr="00355725">
        <w:rPr>
          <w:rFonts w:eastAsia="MS Mincho"/>
          <w:spacing w:val="-4"/>
          <w:kern w:val="1"/>
          <w:lang w:eastAsia="ar-SA"/>
        </w:rPr>
        <w:t>- гостиницы и рестораны – 4,</w:t>
      </w:r>
      <w:r w:rsidR="00FE13C8">
        <w:rPr>
          <w:rFonts w:eastAsia="MS Mincho"/>
          <w:spacing w:val="-4"/>
          <w:kern w:val="1"/>
          <w:lang w:eastAsia="ar-SA"/>
        </w:rPr>
        <w:t>68</w:t>
      </w:r>
      <w:r w:rsidRPr="00355725">
        <w:rPr>
          <w:rFonts w:eastAsia="MS Mincho"/>
          <w:spacing w:val="-4"/>
          <w:kern w:val="1"/>
          <w:lang w:eastAsia="ar-SA"/>
        </w:rPr>
        <w:t>%;</w:t>
      </w:r>
    </w:p>
    <w:p w14:paraId="57C68841" w14:textId="16283C5C" w:rsidR="00355725" w:rsidRPr="00355725" w:rsidRDefault="00355725" w:rsidP="00355725">
      <w:pPr>
        <w:ind w:firstLine="709"/>
        <w:jc w:val="both"/>
        <w:rPr>
          <w:rFonts w:eastAsia="MS Mincho"/>
          <w:spacing w:val="-4"/>
          <w:kern w:val="1"/>
          <w:lang w:eastAsia="ar-SA"/>
        </w:rPr>
      </w:pPr>
      <w:r w:rsidRPr="00355725">
        <w:rPr>
          <w:rFonts w:eastAsia="MS Mincho"/>
          <w:spacing w:val="-4"/>
          <w:kern w:val="1"/>
          <w:lang w:eastAsia="ar-SA"/>
        </w:rPr>
        <w:t>- здравоохранение и предоставление социальных услуг – 2,</w:t>
      </w:r>
      <w:r w:rsidR="00FE13C8">
        <w:rPr>
          <w:rFonts w:eastAsia="MS Mincho"/>
          <w:spacing w:val="-4"/>
          <w:kern w:val="1"/>
          <w:lang w:eastAsia="ar-SA"/>
        </w:rPr>
        <w:t>53</w:t>
      </w:r>
      <w:r w:rsidRPr="00355725">
        <w:rPr>
          <w:rFonts w:eastAsia="MS Mincho"/>
          <w:spacing w:val="-4"/>
          <w:kern w:val="1"/>
          <w:lang w:eastAsia="ar-SA"/>
        </w:rPr>
        <w:t>%;</w:t>
      </w:r>
    </w:p>
    <w:p w14:paraId="76660B10" w14:textId="7777F820" w:rsidR="00355725" w:rsidRPr="00355725" w:rsidRDefault="00355725" w:rsidP="00355725">
      <w:pPr>
        <w:ind w:firstLine="709"/>
        <w:jc w:val="both"/>
        <w:rPr>
          <w:rFonts w:eastAsia="MS Mincho"/>
          <w:spacing w:val="-4"/>
          <w:kern w:val="1"/>
          <w:lang w:eastAsia="ar-SA"/>
        </w:rPr>
      </w:pPr>
      <w:r w:rsidRPr="00355725">
        <w:rPr>
          <w:rFonts w:eastAsia="MS Mincho"/>
          <w:spacing w:val="-4"/>
          <w:kern w:val="1"/>
          <w:lang w:eastAsia="ar-SA"/>
        </w:rPr>
        <w:t>- образовательная деятельность – 1,</w:t>
      </w:r>
      <w:r w:rsidR="00FE13C8">
        <w:rPr>
          <w:rFonts w:eastAsia="MS Mincho"/>
          <w:spacing w:val="-4"/>
          <w:kern w:val="1"/>
          <w:lang w:eastAsia="ar-SA"/>
        </w:rPr>
        <w:t>56</w:t>
      </w:r>
      <w:r w:rsidRPr="00355725">
        <w:rPr>
          <w:rFonts w:eastAsia="MS Mincho"/>
          <w:spacing w:val="-4"/>
          <w:kern w:val="1"/>
          <w:lang w:eastAsia="ar-SA"/>
        </w:rPr>
        <w:t>%</w:t>
      </w:r>
    </w:p>
    <w:p w14:paraId="43C362C4" w14:textId="083621F6" w:rsidR="00355725" w:rsidRPr="00355725" w:rsidRDefault="00355725" w:rsidP="00355725">
      <w:pPr>
        <w:ind w:firstLine="709"/>
        <w:jc w:val="both"/>
        <w:rPr>
          <w:rFonts w:eastAsia="MS Mincho"/>
          <w:spacing w:val="-4"/>
          <w:kern w:val="1"/>
          <w:lang w:eastAsia="ar-SA"/>
        </w:rPr>
      </w:pPr>
      <w:r w:rsidRPr="00355725">
        <w:rPr>
          <w:rFonts w:eastAsia="MS Mincho"/>
          <w:spacing w:val="-4"/>
          <w:kern w:val="1"/>
          <w:lang w:eastAsia="ar-SA"/>
        </w:rPr>
        <w:t>- сельское хозяйство, охота и лесное хозяйство – 1,</w:t>
      </w:r>
      <w:r w:rsidR="00FE13C8">
        <w:rPr>
          <w:rFonts w:eastAsia="MS Mincho"/>
          <w:spacing w:val="-4"/>
          <w:kern w:val="1"/>
          <w:lang w:eastAsia="ar-SA"/>
        </w:rPr>
        <w:t>08</w:t>
      </w:r>
      <w:r w:rsidRPr="00355725">
        <w:rPr>
          <w:rFonts w:eastAsia="MS Mincho"/>
          <w:spacing w:val="-4"/>
          <w:kern w:val="1"/>
          <w:lang w:eastAsia="ar-SA"/>
        </w:rPr>
        <w:t>%;</w:t>
      </w:r>
    </w:p>
    <w:p w14:paraId="39B0E015" w14:textId="2B2E97F3" w:rsidR="00355725" w:rsidRDefault="00355725" w:rsidP="00355725">
      <w:pPr>
        <w:ind w:firstLine="709"/>
        <w:jc w:val="both"/>
        <w:rPr>
          <w:rFonts w:eastAsia="MS Mincho"/>
          <w:spacing w:val="-4"/>
          <w:kern w:val="1"/>
          <w:lang w:eastAsia="ar-SA"/>
        </w:rPr>
      </w:pPr>
      <w:r w:rsidRPr="00355725">
        <w:rPr>
          <w:rFonts w:eastAsia="MS Mincho"/>
          <w:spacing w:val="-4"/>
          <w:kern w:val="1"/>
          <w:lang w:eastAsia="ar-SA"/>
        </w:rPr>
        <w:t>- другие виды деятельности –</w:t>
      </w:r>
      <w:r w:rsidR="00FE13C8">
        <w:rPr>
          <w:rFonts w:eastAsia="MS Mincho"/>
          <w:spacing w:val="-4"/>
          <w:kern w:val="1"/>
          <w:lang w:eastAsia="ar-SA"/>
        </w:rPr>
        <w:t xml:space="preserve"> 10,2</w:t>
      </w:r>
      <w:r w:rsidRPr="00355725">
        <w:rPr>
          <w:rFonts w:eastAsia="MS Mincho"/>
          <w:spacing w:val="-4"/>
          <w:kern w:val="1"/>
          <w:lang w:eastAsia="ar-SA"/>
        </w:rPr>
        <w:t>%.</w:t>
      </w:r>
    </w:p>
    <w:p w14:paraId="5191482A" w14:textId="7BAE07CF" w:rsidR="00355725" w:rsidRDefault="00355725" w:rsidP="00355725">
      <w:pPr>
        <w:ind w:firstLine="709"/>
        <w:jc w:val="both"/>
        <w:rPr>
          <w:rFonts w:eastAsia="MS Mincho"/>
          <w:spacing w:val="-4"/>
          <w:kern w:val="1"/>
          <w:lang w:eastAsia="ar-SA"/>
        </w:rPr>
      </w:pPr>
      <w:r w:rsidRPr="00355725">
        <w:rPr>
          <w:rFonts w:eastAsia="MS Mincho"/>
          <w:spacing w:val="-4"/>
          <w:kern w:val="1"/>
          <w:lang w:eastAsia="ar-SA"/>
        </w:rPr>
        <w:t>В структуре малого и среднего бизнеса в 202</w:t>
      </w:r>
      <w:r w:rsidR="00FE13C8">
        <w:rPr>
          <w:rFonts w:eastAsia="MS Mincho"/>
          <w:spacing w:val="-4"/>
          <w:kern w:val="1"/>
          <w:lang w:eastAsia="ar-SA"/>
        </w:rPr>
        <w:t>4</w:t>
      </w:r>
      <w:r w:rsidRPr="00355725">
        <w:rPr>
          <w:rFonts w:eastAsia="MS Mincho"/>
          <w:spacing w:val="-4"/>
          <w:kern w:val="1"/>
          <w:lang w:eastAsia="ar-SA"/>
        </w:rPr>
        <w:t xml:space="preserve"> году по сравнению с</w:t>
      </w:r>
      <w:r w:rsidR="00FC45C9">
        <w:rPr>
          <w:rFonts w:eastAsia="MS Mincho"/>
          <w:spacing w:val="-4"/>
          <w:kern w:val="1"/>
          <w:lang w:eastAsia="ar-SA"/>
        </w:rPr>
        <w:t> </w:t>
      </w:r>
      <w:r w:rsidRPr="00355725">
        <w:rPr>
          <w:rFonts w:eastAsia="MS Mincho"/>
          <w:spacing w:val="-4"/>
          <w:kern w:val="1"/>
          <w:lang w:eastAsia="ar-SA"/>
        </w:rPr>
        <w:t>202</w:t>
      </w:r>
      <w:r w:rsidR="00FE13C8">
        <w:rPr>
          <w:rFonts w:eastAsia="MS Mincho"/>
          <w:spacing w:val="-4"/>
          <w:kern w:val="1"/>
          <w:lang w:eastAsia="ar-SA"/>
        </w:rPr>
        <w:t>3</w:t>
      </w:r>
      <w:r w:rsidR="00FC45C9">
        <w:rPr>
          <w:rFonts w:eastAsia="MS Mincho"/>
          <w:spacing w:val="-4"/>
          <w:kern w:val="1"/>
          <w:lang w:eastAsia="ar-SA"/>
        </w:rPr>
        <w:t xml:space="preserve"> годом </w:t>
      </w:r>
      <w:r w:rsidRPr="00355725">
        <w:rPr>
          <w:rFonts w:eastAsia="MS Mincho"/>
          <w:spacing w:val="-4"/>
          <w:kern w:val="1"/>
          <w:lang w:eastAsia="ar-SA"/>
        </w:rPr>
        <w:t xml:space="preserve">существенных изменений не произошло. Наблюдается незначительное увеличение доли предприятий, работающих в сфере транспорта и связи, </w:t>
      </w:r>
      <w:r w:rsidR="00FE13C8">
        <w:rPr>
          <w:rFonts w:eastAsia="MS Mincho"/>
          <w:spacing w:val="-4"/>
          <w:kern w:val="1"/>
          <w:lang w:eastAsia="ar-SA"/>
        </w:rPr>
        <w:t>строительства</w:t>
      </w:r>
      <w:r w:rsidRPr="00355725">
        <w:rPr>
          <w:rFonts w:eastAsia="MS Mincho"/>
          <w:spacing w:val="-4"/>
          <w:kern w:val="1"/>
          <w:lang w:eastAsia="ar-SA"/>
        </w:rPr>
        <w:t xml:space="preserve">, и незначительное снижение доли предприятий, действующих в </w:t>
      </w:r>
      <w:r w:rsidR="00FE13C8">
        <w:rPr>
          <w:rFonts w:eastAsia="MS Mincho"/>
          <w:spacing w:val="-4"/>
          <w:kern w:val="1"/>
          <w:lang w:eastAsia="ar-SA"/>
        </w:rPr>
        <w:t xml:space="preserve">торговле, </w:t>
      </w:r>
      <w:r w:rsidRPr="00355725">
        <w:rPr>
          <w:rFonts w:eastAsia="MS Mincho"/>
          <w:spacing w:val="-4"/>
          <w:kern w:val="1"/>
          <w:lang w:eastAsia="ar-SA"/>
        </w:rPr>
        <w:t>сферах операций с движимым и недвижимым имуществом.</w:t>
      </w:r>
    </w:p>
    <w:p w14:paraId="5E6E77AC" w14:textId="461372ED" w:rsidR="00F16D83" w:rsidRDefault="00F16D83" w:rsidP="00355725">
      <w:pPr>
        <w:ind w:firstLine="709"/>
        <w:jc w:val="both"/>
        <w:rPr>
          <w:rFonts w:eastAsia="MS Mincho"/>
          <w:spacing w:val="-4"/>
          <w:kern w:val="1"/>
          <w:lang w:eastAsia="ar-SA"/>
        </w:rPr>
      </w:pPr>
      <w:r>
        <w:rPr>
          <w:rFonts w:eastAsia="MS Mincho"/>
          <w:spacing w:val="-4"/>
          <w:kern w:val="1"/>
          <w:lang w:eastAsia="ar-SA"/>
        </w:rPr>
        <w:t>Подробная информация о достигнутых значениях показателей (индикаторов) Программы представлена в приложении.</w:t>
      </w:r>
    </w:p>
    <w:p w14:paraId="732CBA26" w14:textId="4E82F947" w:rsidR="00F16D83" w:rsidRPr="00F16D83" w:rsidRDefault="00F16D83" w:rsidP="00355725">
      <w:pPr>
        <w:ind w:firstLine="709"/>
        <w:jc w:val="both"/>
        <w:rPr>
          <w:rFonts w:eastAsia="MS Mincho"/>
          <w:spacing w:val="-4"/>
          <w:kern w:val="1"/>
          <w:lang w:eastAsia="ar-SA"/>
        </w:rPr>
      </w:pPr>
      <w:r>
        <w:rPr>
          <w:rFonts w:eastAsia="MS Mincho"/>
          <w:spacing w:val="-4"/>
          <w:kern w:val="1"/>
          <w:lang w:eastAsia="ar-SA"/>
        </w:rPr>
        <w:t>Следует отметить, что по отдельным показателям представлены прогнозные значения в связи с отсутствием статистических данных по причине их формирования органами статистики в апреле-июне 2025 года.</w:t>
      </w:r>
    </w:p>
    <w:p w14:paraId="60D58193" w14:textId="2E9446C7" w:rsidR="00710C24" w:rsidRDefault="00710C24" w:rsidP="00710C24">
      <w:pPr>
        <w:ind w:firstLine="709"/>
        <w:jc w:val="both"/>
      </w:pPr>
      <w:r>
        <w:t>Всего на реализацию мероприятий Муниципальной программы в</w:t>
      </w:r>
      <w:r w:rsidR="00FC45C9">
        <w:t> </w:t>
      </w:r>
      <w:r>
        <w:t>202</w:t>
      </w:r>
      <w:r w:rsidR="00973FB1">
        <w:t>4</w:t>
      </w:r>
      <w:r w:rsidR="00FC45C9">
        <w:t> </w:t>
      </w:r>
      <w:r>
        <w:t xml:space="preserve">году </w:t>
      </w:r>
      <w:r w:rsidRPr="00710C24">
        <w:t xml:space="preserve">освоены лимиты бюджетных ассигнований в размере </w:t>
      </w:r>
      <w:r>
        <w:t>1 5</w:t>
      </w:r>
      <w:r w:rsidR="00973FB1">
        <w:t>09</w:t>
      </w:r>
      <w:r>
        <w:t>,</w:t>
      </w:r>
      <w:r w:rsidR="00973FB1">
        <w:t>92</w:t>
      </w:r>
      <w:r>
        <w:t xml:space="preserve"> тыс. руб., в том числе:</w:t>
      </w:r>
    </w:p>
    <w:p w14:paraId="79D8D624" w14:textId="228A3B9C" w:rsidR="00710C24" w:rsidRDefault="00710C24" w:rsidP="00FC45C9">
      <w:pPr>
        <w:ind w:firstLine="709"/>
        <w:jc w:val="both"/>
      </w:pPr>
      <w:r>
        <w:t>-</w:t>
      </w:r>
      <w:r>
        <w:tab/>
        <w:t>за счет средств местного бюджета 700,00 тыс. руб.;</w:t>
      </w:r>
    </w:p>
    <w:p w14:paraId="714E4952" w14:textId="3B42ECFB" w:rsidR="00355725" w:rsidRDefault="00710C24" w:rsidP="00FC45C9">
      <w:pPr>
        <w:ind w:firstLine="709"/>
        <w:jc w:val="both"/>
      </w:pPr>
      <w:r>
        <w:t>-</w:t>
      </w:r>
      <w:r>
        <w:tab/>
        <w:t xml:space="preserve">за счет средств краевого бюджета </w:t>
      </w:r>
      <w:r w:rsidR="00973FB1">
        <w:t>809</w:t>
      </w:r>
      <w:r>
        <w:t>,</w:t>
      </w:r>
      <w:r w:rsidR="00973FB1">
        <w:t>92</w:t>
      </w:r>
      <w:r>
        <w:t xml:space="preserve"> тыс. руб.</w:t>
      </w:r>
    </w:p>
    <w:p w14:paraId="74EC62E0" w14:textId="33D41FBB" w:rsidR="002570FF" w:rsidRPr="00F16D83" w:rsidRDefault="002570FF" w:rsidP="00FC45C9">
      <w:pPr>
        <w:ind w:firstLine="709"/>
        <w:jc w:val="both"/>
      </w:pPr>
      <w:r w:rsidRPr="00F16D83">
        <w:t xml:space="preserve">Дополнительно привлечены внебюджетные средства (средства Фонда развития г. Комсомольска-на-Амуре) в размере </w:t>
      </w:r>
      <w:r w:rsidR="00922472">
        <w:t>498,66</w:t>
      </w:r>
      <w:r w:rsidRPr="00F16D83">
        <w:t xml:space="preserve"> тыс. рублей.</w:t>
      </w:r>
    </w:p>
    <w:p w14:paraId="0BDBA842" w14:textId="6D2B328D" w:rsidR="00284989" w:rsidRPr="00A8482B" w:rsidRDefault="00284989" w:rsidP="00284989">
      <w:pPr>
        <w:ind w:firstLine="709"/>
        <w:jc w:val="both"/>
      </w:pPr>
      <w:r w:rsidRPr="00A8482B">
        <w:lastRenderedPageBreak/>
        <w:t>Всего в 20</w:t>
      </w:r>
      <w:r w:rsidR="00F16D83" w:rsidRPr="00A8482B">
        <w:t>24</w:t>
      </w:r>
      <w:r w:rsidRPr="00A8482B">
        <w:t xml:space="preserve"> году в рамках Муниципальной программы реализовано в полном объеме 1</w:t>
      </w:r>
      <w:r w:rsidR="00F16D83" w:rsidRPr="00A8482B">
        <w:t>2</w:t>
      </w:r>
      <w:r w:rsidRPr="00A8482B">
        <w:t xml:space="preserve"> мероприятий, из 13 запланированных к реализации, достигнуты установленные показатели (индикаторы) программы.</w:t>
      </w:r>
    </w:p>
    <w:p w14:paraId="207DE855" w14:textId="6E561D4F" w:rsidR="00284989" w:rsidRPr="00A8482B" w:rsidRDefault="00032E5E" w:rsidP="00284989">
      <w:pPr>
        <w:ind w:firstLine="709"/>
        <w:jc w:val="both"/>
      </w:pPr>
      <w:r w:rsidRPr="00A8482B">
        <w:t>Результаты, достигнутые за отчётный период:</w:t>
      </w:r>
    </w:p>
    <w:p w14:paraId="78AF4620" w14:textId="4D1A95ED" w:rsidR="00032E5E" w:rsidRPr="00A8482B" w:rsidRDefault="00032E5E" w:rsidP="00284989">
      <w:pPr>
        <w:ind w:firstLine="709"/>
        <w:jc w:val="both"/>
      </w:pPr>
      <w:r w:rsidRPr="00A8482B">
        <w:t xml:space="preserve">1. Мероприятие </w:t>
      </w:r>
      <w:r w:rsidR="000211CB" w:rsidRPr="00A8482B">
        <w:t>«</w:t>
      </w:r>
      <w:r w:rsidRPr="00A8482B">
        <w:t>Предоставление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211CB" w:rsidRPr="00A8482B">
        <w:t>»</w:t>
      </w:r>
      <w:r w:rsidRPr="00A8482B">
        <w:t>:</w:t>
      </w:r>
    </w:p>
    <w:p w14:paraId="19FEC5D5" w14:textId="19246F07" w:rsidR="00032E5E" w:rsidRPr="00A8482B" w:rsidRDefault="0091508F" w:rsidP="00284989">
      <w:pPr>
        <w:ind w:firstLine="709"/>
        <w:jc w:val="both"/>
      </w:pPr>
      <w:r w:rsidRPr="00A8482B">
        <w:t xml:space="preserve">Комитетом по управлению имуществом администрации города Комсомольска-на-Амуре Хабаровского края (далее – Комитет) в соответствии с частью 4 статьи 18 Федерального закона от 24 июля 2007 года № 209-ФЗ </w:t>
      </w:r>
      <w:r w:rsidR="000211CB" w:rsidRPr="00A8482B">
        <w:t>«</w:t>
      </w:r>
      <w:r w:rsidRPr="00A8482B">
        <w:t>О развитии малого и среднего предпринимательства в Российской Федерации</w:t>
      </w:r>
      <w:r w:rsidR="000211CB" w:rsidRPr="00A8482B">
        <w:t>»</w:t>
      </w:r>
      <w:r w:rsidRPr="00A8482B">
        <w:t xml:space="preserve"> (далее – Федеральный закон № 209-ФЗ) в целях оказания имущественной поддержки субъектам МСП на постоянной основе осуществляется ведение и дополнение Перечня имущества города Комсомольска-на-Амуре, свободного от прав третьих лиц (за исключением права хозяйственного ведения, права оперативного управления, а также имущественных прав субъектов МСП) и используемого в целях предоставления во временное владение и (или) в пользование субъектам МСП и организациям, образующим инфраструктуру поддержки субъектов МСП (далее – Перечень).</w:t>
      </w:r>
    </w:p>
    <w:p w14:paraId="66ED0FCD" w14:textId="633AAB25" w:rsidR="0091508F" w:rsidRPr="00A8482B" w:rsidRDefault="0091508F" w:rsidP="00284989">
      <w:pPr>
        <w:ind w:firstLine="709"/>
        <w:jc w:val="both"/>
      </w:pPr>
      <w:r w:rsidRPr="00A8482B">
        <w:t>Во исполнение требования части 4 статьи 18 Федерального закона № 209-ФЗ о ежегодном до 1 ноября текущего года дополнением таких Перечней муниципальных имуществом Комитетом проводятся соответствующие мероприятия, в том числе анализ реестров объектов муниципального имущества, пригодных для включения в Перечень.</w:t>
      </w:r>
    </w:p>
    <w:p w14:paraId="0BF48B12" w14:textId="3ED15B5D" w:rsidR="009561D7" w:rsidRDefault="009561D7" w:rsidP="00284989">
      <w:pPr>
        <w:ind w:firstLine="709"/>
        <w:jc w:val="both"/>
      </w:pPr>
      <w:r w:rsidRPr="009561D7">
        <w:t xml:space="preserve">В 2024 году по результатам проведенного анализа объектов муниципальной собственности на предмет возможности их включения в Перечень проведено 2 заседания рабочей группы по вопросам оказания имущественной поддержки СМСП. В соответствии с принятыми комиссией решениями, были подготовлены проекты постановления о внесении изменений в Перечень, согласно которому Перечень в количественном выражении дополнен на 13 объектов по состоянию на конец года. </w:t>
      </w:r>
    </w:p>
    <w:p w14:paraId="2BECD4AE" w14:textId="6D9E3F57" w:rsidR="005A7830" w:rsidRDefault="005A7830" w:rsidP="005A7830">
      <w:pPr>
        <w:ind w:firstLine="709"/>
        <w:jc w:val="both"/>
      </w:pPr>
      <w:r>
        <w:t xml:space="preserve">По состоянию на 31 декабря 2024 из 210 объектов, включенных в Перечень, в аренду СМиСП предоставлено 176 объектов, что составляет 84 % (при плане не менее 80%) от общего количества объектов, включенных в Перечень. Таким образом,  показатель (индикатор) (п. 2.1 Сведений о достижении значений показателей (индикаторов) муниципальной программы «Доля сданных в аренду СМСП и организациям, образующим инфраструктуру поддержки СМСП, объектов недвижимого имущества, включенных в Перечень имущества города Комсомольск-на-Амуре,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используемого в целях предоставления во временное владение и (или) в пользование субъектам малого и среднего </w:t>
      </w:r>
      <w:r>
        <w:lastRenderedPageBreak/>
        <w:t xml:space="preserve">предпринимательства и организациям, образующим инфраструктуру поддержки субъектов малого и среднего предпринимательства», выполнен в полном объеме.  </w:t>
      </w:r>
    </w:p>
    <w:p w14:paraId="37A7DD32" w14:textId="77777777" w:rsidR="005A7830" w:rsidRDefault="005A7830" w:rsidP="005A7830">
      <w:pPr>
        <w:ind w:firstLine="709"/>
        <w:jc w:val="both"/>
      </w:pPr>
      <w:r>
        <w:t>Постановлением администрации города Комсомольска-на-Амуре от 23 декабря 2016 года № 3340-па «Об утверждении льготной ставки арендной платы за использование муниципального имущества, включенного в перечень имущества, утвержденного постановлением администрации города от 30 декабря 2008 года № 188-па «Об утверждении перечня имущества города Комсомольска-на-Амуре,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во временное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установлена льготная ставка арендной платы за использование муниципального имущества, включенного в Перечень, в размере 95%.</w:t>
      </w:r>
    </w:p>
    <w:p w14:paraId="3DDD93AB" w14:textId="77777777" w:rsidR="005A7830" w:rsidRDefault="005A7830" w:rsidP="005A7830">
      <w:pPr>
        <w:ind w:firstLine="709"/>
        <w:jc w:val="both"/>
      </w:pPr>
      <w:r>
        <w:t>Кроме того, несмотря на напряженное исполнение бюджета, администрацией города Комсомольска-на-Амуре осуществляется поддержка арендаторов муниципального имущества, в том числе субъектов малого и среднего предпринимательства, в виде следующих мероприятий:</w:t>
      </w:r>
    </w:p>
    <w:p w14:paraId="7876CC0D" w14:textId="0477F9FB" w:rsidR="005A7830" w:rsidRDefault="005A7830" w:rsidP="005A7830">
      <w:pPr>
        <w:ind w:firstLine="709"/>
        <w:jc w:val="both"/>
      </w:pPr>
      <w:r>
        <w:t>1) постановлением администрации города Комсомольска-на-Амуре от 28 февраля 2023 года № 327-па, утверждающим Порядок определения платы за пользование недвижимым имуществом муниципальной собственности города Комсомольска-на-Амуре, предусмотрен понижающий коэффициент, применяемый для расчета начальной цены аукционов на право заключения договоров аренды, учитывающий количество аукционов, признанных несостоявшимися, и позволяющий снизить начальную арендную плату до 50%. Таким образом, начальная цена объекта аукциона в виде ежемесячной арендной платы может быть снижена на 50%.</w:t>
      </w:r>
    </w:p>
    <w:p w14:paraId="007F1320" w14:textId="015FDBAE" w:rsidR="005A7830" w:rsidRDefault="005A7830" w:rsidP="005A7830">
      <w:pPr>
        <w:ind w:firstLine="709"/>
        <w:jc w:val="both"/>
      </w:pPr>
      <w:r>
        <w:t xml:space="preserve">2) действующим Порядком определения платы за пользование недвижимым имуществом муниципальной собственности города Комсомольска-на-Амуре для арендаторов муниципального имущества, относящихся к категории СМСП, предусмотрена возможность передачи в субаренду до 10 процентов арендуемой площади без применения к размеру арендной платы повышающего коэффициента. При этом площадь, возможная для передачи в субаренду составляет до восьмидесяти процентов от общей арендуемой. Данная мера позволяет арендаторам увеличить количество субарендаторов, в связи с чем получить дополнительный доход, разделить нагрузку по содержанию помещения с субарендаторами и, как следствие, осуществлять планомерную оплату за использование муниципального имущества в местный бюджет. </w:t>
      </w:r>
    </w:p>
    <w:p w14:paraId="6A575E5B" w14:textId="77777777" w:rsidR="005A7830" w:rsidRDefault="005A7830" w:rsidP="005A7830">
      <w:pPr>
        <w:ind w:firstLine="709"/>
        <w:jc w:val="both"/>
      </w:pPr>
      <w:r>
        <w:t xml:space="preserve">3) в соответствии с постановлением администрации города Комсомольска-на-Амуре от 8 мая 2019 года  № 1016-па «Об утверждении Положения о порядке внесения платы за пользование определенной </w:t>
      </w:r>
      <w:r>
        <w:lastRenderedPageBreak/>
        <w:t>категорией недвижимого имущества, находящегося в собственности города Комсомольска-на-Амуре», с января по апрель 2024 действовал механизм «арендных каникул» (освобождение арендатора от арендной платы на шесть месяцев) в отношении объектов муниципальной собственности, аукционы на право заключения договора аренды по которым 11 раз и более признаны несостоявшимися в связи с отсутствием заявителей на участие в аукционе.</w:t>
      </w:r>
    </w:p>
    <w:p w14:paraId="3EE1C231" w14:textId="66D73D4B" w:rsidR="00284989" w:rsidRPr="005A7830" w:rsidRDefault="003731DD" w:rsidP="005A7830">
      <w:pPr>
        <w:ind w:firstLine="709"/>
        <w:jc w:val="both"/>
      </w:pPr>
      <w:r w:rsidRPr="005A7830">
        <w:t xml:space="preserve">2. Мероприятие </w:t>
      </w:r>
      <w:r w:rsidR="000211CB" w:rsidRPr="005A7830">
        <w:t>«</w:t>
      </w:r>
      <w:r w:rsidRPr="005A7830">
        <w:t>Финансовая поддержка субъектов малого и среднего предпринимательства</w:t>
      </w:r>
      <w:r w:rsidR="000211CB" w:rsidRPr="005A7830">
        <w:t>»</w:t>
      </w:r>
      <w:r w:rsidRPr="005A7830">
        <w:t>.</w:t>
      </w:r>
    </w:p>
    <w:p w14:paraId="1EA80CAA" w14:textId="77777777" w:rsidR="005A7830" w:rsidRDefault="005A7830" w:rsidP="005A7830">
      <w:pPr>
        <w:ind w:firstLine="709"/>
        <w:jc w:val="both"/>
      </w:pPr>
      <w:r>
        <w:t>В рамках оказания финансовой поддержки администрацией города Комсомольска-на-Амуре в третьем квартале 2024 года проводился конкурс на предоставление субсидий на компенсацию затрат, связанных с производством (реализацией) товаров, выполнением работ, оказанием услуг субъектам малого и среднего предпринимательства города Комсомольска-на-Амуре, осуществляющим приоритетные виды деятельности, в соответствии с постановлением администрации города Комсомольска-на-Амуре от 15 июня 2021 года № 1030-па (далее - Конкурсный отбор).</w:t>
      </w:r>
    </w:p>
    <w:p w14:paraId="2FFA9599" w14:textId="77777777" w:rsidR="005A7830" w:rsidRDefault="005A7830" w:rsidP="005A7830">
      <w:pPr>
        <w:ind w:firstLine="709"/>
        <w:jc w:val="both"/>
      </w:pPr>
      <w:r>
        <w:t xml:space="preserve">По итогам заседания комиссии по проведению Конкурсного отбора принято решение об оказании финансовой поддержки 10 участникам. Победителями Конкурсного отбора стали представители бизнеса в различных сферах деятельности, таких как: </w:t>
      </w:r>
    </w:p>
    <w:p w14:paraId="3B49DF21" w14:textId="77777777" w:rsidR="005A7830" w:rsidRDefault="005A7830" w:rsidP="005A7830">
      <w:pPr>
        <w:ind w:firstLine="709"/>
        <w:jc w:val="both"/>
      </w:pPr>
      <w:r>
        <w:t>- производство гофрированной бумаги и картона, бумажной и картонной тары;</w:t>
      </w:r>
    </w:p>
    <w:p w14:paraId="1C01D8F2" w14:textId="77777777" w:rsidR="005A7830" w:rsidRDefault="005A7830" w:rsidP="005A7830">
      <w:pPr>
        <w:ind w:firstLine="709"/>
        <w:jc w:val="both"/>
      </w:pPr>
      <w:r>
        <w:t>- обработка металлических изделий механическая;</w:t>
      </w:r>
    </w:p>
    <w:p w14:paraId="0DEC7B3B" w14:textId="77777777" w:rsidR="005A7830" w:rsidRDefault="005A7830" w:rsidP="005A7830">
      <w:pPr>
        <w:ind w:firstLine="709"/>
        <w:jc w:val="both"/>
      </w:pPr>
      <w:r>
        <w:t>- строительство автомобильных дорог и автомагистралей;</w:t>
      </w:r>
    </w:p>
    <w:p w14:paraId="44404C91" w14:textId="77777777" w:rsidR="005A7830" w:rsidRDefault="005A7830" w:rsidP="005A7830">
      <w:pPr>
        <w:ind w:firstLine="709"/>
        <w:jc w:val="both"/>
      </w:pPr>
      <w:r>
        <w:t>- производство штукатурных работ;</w:t>
      </w:r>
    </w:p>
    <w:p w14:paraId="71C6311D" w14:textId="77777777" w:rsidR="005A7830" w:rsidRDefault="005A7830" w:rsidP="005A7830">
      <w:pPr>
        <w:ind w:firstLine="709"/>
        <w:jc w:val="both"/>
      </w:pPr>
      <w:r>
        <w:t>- производство безалкогольных напитков, производство упакованных питьевых вод, включая минеральные воды;</w:t>
      </w:r>
    </w:p>
    <w:p w14:paraId="5B570897" w14:textId="77777777" w:rsidR="005A7830" w:rsidRDefault="005A7830" w:rsidP="005A7830">
      <w:pPr>
        <w:ind w:firstLine="709"/>
        <w:jc w:val="both"/>
      </w:pPr>
      <w:r>
        <w:t>- производство прочей одежды и аксессуаров одежды;</w:t>
      </w:r>
    </w:p>
    <w:p w14:paraId="34F167CA" w14:textId="77777777" w:rsidR="005A7830" w:rsidRDefault="005A7830" w:rsidP="005A7830">
      <w:pPr>
        <w:ind w:firstLine="709"/>
        <w:jc w:val="both"/>
      </w:pPr>
      <w:r>
        <w:t>- производство прочих изделий, не включенных в другие группировки;</w:t>
      </w:r>
    </w:p>
    <w:p w14:paraId="2C278F8B" w14:textId="77777777" w:rsidR="005A7830" w:rsidRDefault="005A7830" w:rsidP="005A7830">
      <w:pPr>
        <w:ind w:firstLine="709"/>
        <w:jc w:val="both"/>
      </w:pPr>
      <w:r>
        <w:t>- производство строительных металлических конструкций и изделий;</w:t>
      </w:r>
    </w:p>
    <w:p w14:paraId="04BA9533" w14:textId="77777777" w:rsidR="005A7830" w:rsidRPr="005A7830" w:rsidRDefault="005A7830" w:rsidP="005A7830">
      <w:pPr>
        <w:ind w:firstLine="709"/>
        <w:jc w:val="both"/>
      </w:pPr>
      <w:r>
        <w:t xml:space="preserve">- </w:t>
      </w:r>
      <w:r w:rsidRPr="005A7830">
        <w:t>производство электромонтажных работ.</w:t>
      </w:r>
    </w:p>
    <w:p w14:paraId="5B602634" w14:textId="04FA86DE" w:rsidR="005A7830" w:rsidRPr="005A7830" w:rsidRDefault="005A7830" w:rsidP="005A7830">
      <w:pPr>
        <w:ind w:firstLine="709"/>
        <w:jc w:val="both"/>
      </w:pPr>
      <w:r w:rsidRPr="005A7830">
        <w:t>По состоянию на 1 января 2025 года получателями субсидии 2024 года сохранено 97 рабочих мест, в том числе создано 13 рабочих мест.</w:t>
      </w:r>
    </w:p>
    <w:p w14:paraId="0DD84D1C" w14:textId="6E321664" w:rsidR="00BE40B8" w:rsidRPr="005A7830" w:rsidRDefault="00BE40B8" w:rsidP="00BE40B8">
      <w:pPr>
        <w:ind w:firstLine="709"/>
        <w:jc w:val="both"/>
      </w:pPr>
      <w:r w:rsidRPr="005A7830">
        <w:t>Общая сумма оказанной финансовой поддержки составила 1 5</w:t>
      </w:r>
      <w:r w:rsidR="005A7830" w:rsidRPr="005A7830">
        <w:t>09</w:t>
      </w:r>
      <w:r w:rsidRPr="005A7830">
        <w:t>,</w:t>
      </w:r>
      <w:r w:rsidR="005A7830" w:rsidRPr="005A7830">
        <w:t>92</w:t>
      </w:r>
      <w:r w:rsidRPr="005A7830">
        <w:t xml:space="preserve"> тыс. рублей.</w:t>
      </w:r>
    </w:p>
    <w:p w14:paraId="2D1CA2D8" w14:textId="2BED532F" w:rsidR="004E1EE3" w:rsidRPr="005A7830" w:rsidRDefault="004E1EE3" w:rsidP="00BE40B8">
      <w:pPr>
        <w:ind w:firstLine="709"/>
        <w:jc w:val="both"/>
      </w:pPr>
      <w:r w:rsidRPr="005A7830">
        <w:t xml:space="preserve">3. Мероприятие </w:t>
      </w:r>
      <w:r w:rsidR="000211CB" w:rsidRPr="005A7830">
        <w:t>«</w:t>
      </w:r>
      <w:r w:rsidRPr="005A7830">
        <w:t>Информационная и консультационная поддержка</w:t>
      </w:r>
      <w:r w:rsidR="000211CB" w:rsidRPr="005A7830">
        <w:t>»</w:t>
      </w:r>
      <w:r w:rsidRPr="005A7830">
        <w:t>.</w:t>
      </w:r>
    </w:p>
    <w:p w14:paraId="720D6A13" w14:textId="022F02E0" w:rsidR="005A7830" w:rsidRDefault="005A7830" w:rsidP="005A7830">
      <w:pPr>
        <w:ind w:firstLine="709"/>
        <w:jc w:val="both"/>
      </w:pPr>
      <w:r>
        <w:t>В 2024 года Фондом развития г. Комсомольска-на-Амуре (далее – Фонд) проводились очные и онлайн-мероприятия по вопросам развития малого и среднего бизнеса, участие в которых приняли 66 субъектов МСП и физических лиц, применяющих специальный налоговый режим «Налог на профессиональный доход» (далее – самозанятые граждане).</w:t>
      </w:r>
    </w:p>
    <w:p w14:paraId="608E061E" w14:textId="145EA0D5" w:rsidR="004324E4" w:rsidRDefault="004324E4" w:rsidP="005A7830">
      <w:pPr>
        <w:ind w:firstLine="709"/>
        <w:jc w:val="both"/>
      </w:pPr>
      <w:r>
        <w:t xml:space="preserve">В связи с изменением в 2024 году фактического адреса Фонда, отсутствием помещения для проведения мероприятий и проблемами, связанными с </w:t>
      </w:r>
      <w:proofErr w:type="spellStart"/>
      <w:r>
        <w:t>недоукомплектованностью</w:t>
      </w:r>
      <w:proofErr w:type="spellEnd"/>
      <w:r>
        <w:t xml:space="preserve"> штатными единицами, оказывающих консультационную поддержку, в 2024 году не в полном объеме </w:t>
      </w:r>
      <w:r>
        <w:lastRenderedPageBreak/>
        <w:t xml:space="preserve">были достигнуты запланированные показатели по числу лиц, участвующих в мероприятиях. </w:t>
      </w:r>
    </w:p>
    <w:p w14:paraId="07AB4468" w14:textId="02A65FBA" w:rsidR="005A7830" w:rsidRDefault="005A7830" w:rsidP="005A7830">
      <w:pPr>
        <w:ind w:firstLine="709"/>
        <w:jc w:val="both"/>
      </w:pPr>
      <w:r>
        <w:t>В 2024 году Фондом оказано 196 консультационных услуги субъектам МСП и самозанятым гражданам.</w:t>
      </w:r>
    </w:p>
    <w:p w14:paraId="09EE0D7D" w14:textId="77777777" w:rsidR="005A7830" w:rsidRDefault="005A7830" w:rsidP="005A7830">
      <w:pPr>
        <w:ind w:firstLine="709"/>
        <w:jc w:val="both"/>
      </w:pPr>
      <w:r>
        <w:t xml:space="preserve">В целях оказания содействия участию субъектов МСП в конкурсах на государственные и муниципальные закупки администрацией города Комсомольска-на-Амуре проводилось информирование Заказчиков и Уполномоченных органов об изменениях законодательства в сфере закупок, о проведении мероприятий для субъектов МСП по вопросам участия в закупках крупнейших заказчиков. </w:t>
      </w:r>
    </w:p>
    <w:p w14:paraId="089A7FCD" w14:textId="0312F92E" w:rsidR="005A7830" w:rsidRDefault="005A7830" w:rsidP="005A7830">
      <w:pPr>
        <w:ind w:firstLine="709"/>
        <w:jc w:val="both"/>
        <w:rPr>
          <w:highlight w:val="yellow"/>
        </w:rPr>
      </w:pPr>
      <w:r>
        <w:t>Продолжает работу официальный сайт информационной поддержки субъектов малого и среднего предпринимательства администрации города Комсомольска-на-Амуре «Курс на бизнес» (далее – Сайт), аккумулирующий информацию по вопросам развития предпринимательской и инвестиционной деятельности. Сайт актуализируется на постоянной основе, наполняется новой информацией.</w:t>
      </w:r>
    </w:p>
    <w:p w14:paraId="686351E4" w14:textId="2EFE31E2" w:rsidR="00BE40B8" w:rsidRPr="005A7830" w:rsidRDefault="004E1EE3" w:rsidP="009F5C8F">
      <w:pPr>
        <w:ind w:firstLine="709"/>
        <w:jc w:val="both"/>
      </w:pPr>
      <w:r w:rsidRPr="005A7830">
        <w:t xml:space="preserve">4. Мероприятие </w:t>
      </w:r>
      <w:r w:rsidR="000211CB" w:rsidRPr="005A7830">
        <w:t>«</w:t>
      </w:r>
      <w:r w:rsidRPr="005A7830">
        <w:t>Пропаганда (популяризация) предпринимательской деятельности и поддержка индивидуальной предпринимательской инициативы</w:t>
      </w:r>
      <w:r w:rsidR="000211CB" w:rsidRPr="005A7830">
        <w:t>»</w:t>
      </w:r>
      <w:r w:rsidRPr="005A7830">
        <w:t>.</w:t>
      </w:r>
    </w:p>
    <w:p w14:paraId="31361A79" w14:textId="54D0FFC0" w:rsidR="00D5386C" w:rsidRPr="005A7830" w:rsidRDefault="00D5386C" w:rsidP="009F5C8F">
      <w:pPr>
        <w:ind w:firstLine="709"/>
        <w:jc w:val="both"/>
      </w:pPr>
      <w:r w:rsidRPr="005A7830">
        <w:t>В целях обеспечения субъектов малого и среднего предпринимательства необходимой информацией в течение 202</w:t>
      </w:r>
      <w:r w:rsidR="005A7830" w:rsidRPr="005A7830">
        <w:t>4</w:t>
      </w:r>
      <w:r w:rsidRPr="005A7830">
        <w:t xml:space="preserve"> года на Сайте </w:t>
      </w:r>
      <w:r w:rsidR="005A7830">
        <w:t xml:space="preserve">администрацией города </w:t>
      </w:r>
      <w:r w:rsidRPr="005A7830">
        <w:t>опубликован</w:t>
      </w:r>
      <w:r w:rsidR="005A7830" w:rsidRPr="005A7830">
        <w:t>о</w:t>
      </w:r>
      <w:r w:rsidRPr="005A7830">
        <w:t xml:space="preserve"> 1</w:t>
      </w:r>
      <w:r w:rsidR="005A7830" w:rsidRPr="005A7830">
        <w:t>31</w:t>
      </w:r>
      <w:r w:rsidRPr="005A7830">
        <w:t xml:space="preserve"> новостн</w:t>
      </w:r>
      <w:r w:rsidR="005A7830" w:rsidRPr="005A7830">
        <w:t>ое</w:t>
      </w:r>
      <w:r w:rsidRPr="005A7830">
        <w:t xml:space="preserve"> сообщени</w:t>
      </w:r>
      <w:r w:rsidR="005A7830" w:rsidRPr="005A7830">
        <w:t>е</w:t>
      </w:r>
      <w:r w:rsidRPr="005A7830">
        <w:t xml:space="preserve"> и </w:t>
      </w:r>
      <w:r w:rsidR="005A7830" w:rsidRPr="005A7830">
        <w:t>2</w:t>
      </w:r>
      <w:r w:rsidRPr="005A7830">
        <w:t xml:space="preserve"> истори</w:t>
      </w:r>
      <w:r w:rsidR="005A7830" w:rsidRPr="005A7830">
        <w:t>и</w:t>
      </w:r>
      <w:r w:rsidRPr="005A7830">
        <w:t xml:space="preserve"> успеха предпринимателей города, подготовленных Фондом развития г. Комсомольска-на-Амуре.</w:t>
      </w:r>
    </w:p>
    <w:p w14:paraId="36E7B5BF" w14:textId="77777777" w:rsidR="005A7830" w:rsidRDefault="005A7830" w:rsidP="005A7830">
      <w:pPr>
        <w:ind w:firstLine="709"/>
        <w:jc w:val="both"/>
      </w:pPr>
      <w:r>
        <w:t>В целом по Хабаровскому краю определены 14 победителей и 16 лауреатов Конкурса в 13 отраслевых и 4 специальных номинациях, в том числе 1 лауреат из города Комсомольска-на-Амуре – генеральный директор АО «Птицефабрика Комсомольская».</w:t>
      </w:r>
    </w:p>
    <w:p w14:paraId="7234356D" w14:textId="77777777" w:rsidR="005A7830" w:rsidRDefault="005A7830" w:rsidP="005A7830">
      <w:pPr>
        <w:ind w:firstLine="709"/>
        <w:jc w:val="both"/>
      </w:pPr>
      <w:r>
        <w:t>В 2024 году обновлен состав Совета по развитию предпринимательства и улучшению инвестиционного климата при главе города Комсомольска-на-Амуре (далее – Совет).</w:t>
      </w:r>
    </w:p>
    <w:p w14:paraId="57F29D05" w14:textId="77777777" w:rsidR="005A7830" w:rsidRDefault="005A7830" w:rsidP="005A7830">
      <w:pPr>
        <w:ind w:firstLine="709"/>
        <w:jc w:val="both"/>
      </w:pPr>
      <w:r>
        <w:t>В 2024 году организовано и проведено 4 заседания Совета в очном формате (24 мая 2024 года, 13 ноября 2024 года, 5 декабря 2024 года, 28 декабря 2024 года).</w:t>
      </w:r>
    </w:p>
    <w:p w14:paraId="117E9D90" w14:textId="77777777" w:rsidR="005A7830" w:rsidRDefault="005A7830" w:rsidP="005A7830">
      <w:pPr>
        <w:ind w:firstLine="709"/>
        <w:jc w:val="both"/>
      </w:pPr>
      <w:r>
        <w:t xml:space="preserve">В течение 2024 года Советом были рассмотрены различные вопросы, направленные на улучшение делового и инвестиционного климата в городе Комсомольске-на-Амуре, такие как проблема доступа субъектов предпринимательской деятельности к финансовым ресурсам при оказании муниципальных услуг в социальной сфере в соответствии с социальным сертификатом, вопросы улучшения взаимодействия с налоговыми органами, стимулирования жилищного строительства и реализацию льготных ипотечных программ и другие. Члены Совета рассмотрели отчет инвестиционного уполномоченного города Комсомольска-на-Амуре, информацию о работе проводимой администрацией города Комсомольска-на-Амуре в рамках процедуры оценки регулирующего воздействия, а также </w:t>
      </w:r>
      <w:r>
        <w:lastRenderedPageBreak/>
        <w:t xml:space="preserve">процедуры оценки фактического воздействия, утвердили доклад о системе внутреннего обеспечения соответствия требованиям антимонопольного законодательства деятельности администрации города Комсомольска-на-Амуре и ее отраслевых органов за 2023 год. </w:t>
      </w:r>
    </w:p>
    <w:p w14:paraId="416F617F" w14:textId="77777777" w:rsidR="005A7830" w:rsidRDefault="005A7830" w:rsidP="005A7830">
      <w:pPr>
        <w:ind w:firstLine="709"/>
        <w:jc w:val="both"/>
      </w:pPr>
      <w:r>
        <w:t>Особое внимание было уделено рассмотрению проектов муниципальных нормативных правовых актов, влияющих на бизнес, а именно: регулирующих продажу алкогольной продукции при оказании услуг общественного питания, утверждающих типовые архитектурные решения внешнего вида нестационарных торговых объектов для размещения на территории города, требования к архитектурно-градостроительному облику объектов капитального строительства.</w:t>
      </w:r>
    </w:p>
    <w:p w14:paraId="68FC2A36" w14:textId="77777777" w:rsidR="005A7830" w:rsidRDefault="005A7830" w:rsidP="005A7830">
      <w:pPr>
        <w:ind w:firstLine="709"/>
        <w:jc w:val="both"/>
      </w:pPr>
      <w:r>
        <w:t xml:space="preserve">В течении 2024 года участникам заседаний Совета были представлены различные проекты, такие как: </w:t>
      </w:r>
    </w:p>
    <w:p w14:paraId="2CEC5B18" w14:textId="77777777" w:rsidR="005A7830" w:rsidRDefault="005A7830" w:rsidP="005A7830">
      <w:pPr>
        <w:ind w:firstLine="709"/>
        <w:jc w:val="both"/>
      </w:pPr>
      <w:r>
        <w:t>- проект для военно-промышленного комплекса, разработанный совместно научными сотрудниками города и представителями бизнеса;</w:t>
      </w:r>
    </w:p>
    <w:p w14:paraId="026F7CC4" w14:textId="77777777" w:rsidR="005A7830" w:rsidRDefault="005A7830" w:rsidP="005A7830">
      <w:pPr>
        <w:ind w:firstLine="709"/>
        <w:jc w:val="both"/>
      </w:pPr>
      <w:r>
        <w:t>- проект «Чистая лига» Комсомольского городского общественного объединения «</w:t>
      </w:r>
      <w:proofErr w:type="spellStart"/>
      <w:r>
        <w:t>Градосфера</w:t>
      </w:r>
      <w:proofErr w:type="spellEnd"/>
      <w:r>
        <w:t>»;</w:t>
      </w:r>
    </w:p>
    <w:p w14:paraId="0A1224E7" w14:textId="77777777" w:rsidR="005A7830" w:rsidRDefault="005A7830" w:rsidP="005A7830">
      <w:pPr>
        <w:ind w:firstLine="709"/>
        <w:jc w:val="both"/>
      </w:pPr>
      <w:r>
        <w:t>- инвестиционный проект по установке вендинговых точек с продукцией от местных производителей под брэндом «Сделано в Хабаровском крае.</w:t>
      </w:r>
    </w:p>
    <w:p w14:paraId="751E6026" w14:textId="77777777" w:rsidR="005A7830" w:rsidRDefault="005A7830" w:rsidP="005A7830">
      <w:pPr>
        <w:ind w:firstLine="709"/>
        <w:jc w:val="both"/>
      </w:pPr>
      <w:r>
        <w:t xml:space="preserve">Также были подведены итоги конкурса «Шаги в бизнес» среди учащихся «Предпринимательских классов» в 2024 году. </w:t>
      </w:r>
    </w:p>
    <w:p w14:paraId="77072B7E" w14:textId="77777777" w:rsidR="005A7830" w:rsidRDefault="005A7830" w:rsidP="005A7830">
      <w:pPr>
        <w:ind w:firstLine="709"/>
        <w:jc w:val="both"/>
      </w:pPr>
      <w:r>
        <w:t>На итоговом заседании Совета глава города Заплутаев Д.А. огласил инвестиционное послание на 2025 год, а также были подведены итоги работы Совета в 2024 году.</w:t>
      </w:r>
    </w:p>
    <w:p w14:paraId="3C3A828B" w14:textId="77777777" w:rsidR="005A7830" w:rsidRDefault="005A7830" w:rsidP="005A7830">
      <w:pPr>
        <w:ind w:firstLine="709"/>
        <w:jc w:val="both"/>
      </w:pPr>
      <w:r>
        <w:t xml:space="preserve">Совместно с бизнес-сообществом города продолжает реализовываться проект «Предпринимательские классы», направленный на вовлечение молодежи в предпринимательскую деятельность. </w:t>
      </w:r>
    </w:p>
    <w:p w14:paraId="2BAEDC0C" w14:textId="77777777" w:rsidR="005A7830" w:rsidRDefault="005A7830" w:rsidP="005A7830">
      <w:pPr>
        <w:ind w:firstLine="709"/>
        <w:jc w:val="both"/>
      </w:pPr>
      <w:r>
        <w:t xml:space="preserve">17 мая 2024 года уже в восьмой раз состоялся конкурс бизнес-проектов и разработок обучающихся «Шаги в бизнес», цель которого - повышение уровня экономических знаний школьников по основам предпринимательства и практического применения предпринимательских умений и навыков. Основной задачей конкурса является предоставление учащимся возможности развивать собственные предпринимательские инициативы и поддержать наиболее перспективные бизнес-идеи. Обязательным условием конкурса является – обсуждение проекта с действующими предпринимателями и его рецензирование для выявления неточностей, корректировки и дельных советов.  </w:t>
      </w:r>
    </w:p>
    <w:p w14:paraId="6E3C921F" w14:textId="77777777" w:rsidR="005A7830" w:rsidRDefault="005A7830" w:rsidP="005A7830">
      <w:pPr>
        <w:ind w:firstLine="709"/>
        <w:jc w:val="both"/>
      </w:pPr>
      <w:r>
        <w:t>В 2024 году в конкурсе приняли участие учащиеся школ №№ 8, 30, 36, 42 и 50, представив на защиту 9 проектов в области предпринимательства.</w:t>
      </w:r>
    </w:p>
    <w:p w14:paraId="24BEA055" w14:textId="77777777" w:rsidR="005A7830" w:rsidRDefault="005A7830" w:rsidP="005A7830">
      <w:pPr>
        <w:ind w:firstLine="709"/>
        <w:jc w:val="both"/>
      </w:pPr>
      <w:r>
        <w:t>Разработанные проекты были представлены в трёх номинациях: «Собственное дело», «Социальное предпринимательство» и «Онлайн-предпринимательство».</w:t>
      </w:r>
    </w:p>
    <w:p w14:paraId="4019941A" w14:textId="77777777" w:rsidR="005A7830" w:rsidRDefault="005A7830" w:rsidP="005A7830">
      <w:pPr>
        <w:ind w:firstLine="709"/>
        <w:jc w:val="both"/>
      </w:pPr>
      <w:r>
        <w:t xml:space="preserve">На защиту были представлены проекты из разных сфер, таких как: производство мороженого и кондитерская, компьютерный клуб и «Анимационная студия», агентство детских праздников, студия ногтевого </w:t>
      </w:r>
      <w:r>
        <w:lastRenderedPageBreak/>
        <w:t>сервиса и арт-мастерская, оказание бытовых услуг людям пенсионного и предпенсионного возраста.</w:t>
      </w:r>
    </w:p>
    <w:p w14:paraId="30537E44" w14:textId="77777777" w:rsidR="005A7830" w:rsidRDefault="005A7830" w:rsidP="005A7830">
      <w:pPr>
        <w:ind w:firstLine="709"/>
        <w:jc w:val="both"/>
      </w:pPr>
      <w:r>
        <w:t xml:space="preserve">Оценивало проекты жюри из числа предпринимателей города и представителей управления образования. </w:t>
      </w:r>
    </w:p>
    <w:p w14:paraId="0E1FC1DC" w14:textId="77777777" w:rsidR="005A7830" w:rsidRDefault="005A7830" w:rsidP="005A7830">
      <w:pPr>
        <w:ind w:firstLine="709"/>
        <w:jc w:val="both"/>
      </w:pPr>
      <w:r>
        <w:t xml:space="preserve"> Победителями и призерами стали следующие проекты: </w:t>
      </w:r>
    </w:p>
    <w:p w14:paraId="735CCF83" w14:textId="77777777" w:rsidR="005A7830" w:rsidRDefault="005A7830" w:rsidP="005A7830">
      <w:pPr>
        <w:ind w:firstLine="709"/>
        <w:jc w:val="both"/>
      </w:pPr>
      <w:r>
        <w:t xml:space="preserve">-номинация «Собственное дело»: </w:t>
      </w:r>
    </w:p>
    <w:p w14:paraId="4A91D671" w14:textId="77777777" w:rsidR="005A7830" w:rsidRDefault="005A7830" w:rsidP="005A7830">
      <w:pPr>
        <w:ind w:firstLine="709"/>
        <w:jc w:val="both"/>
      </w:pPr>
      <w:r>
        <w:t>- 1 место – проект «Агентство детских праздников» МОУ СОШ № 36;</w:t>
      </w:r>
    </w:p>
    <w:p w14:paraId="57DC7EA6" w14:textId="77777777" w:rsidR="005A7830" w:rsidRDefault="005A7830" w:rsidP="005A7830">
      <w:pPr>
        <w:ind w:firstLine="709"/>
        <w:jc w:val="both"/>
      </w:pPr>
      <w:r>
        <w:t>- 2 место - проект - «Оказание бытовых услуг людям пенсионного и предпенсионного возраста» МОУ СОШ № 42;</w:t>
      </w:r>
    </w:p>
    <w:p w14:paraId="40F378BA" w14:textId="77777777" w:rsidR="005A7830" w:rsidRDefault="005A7830" w:rsidP="005A7830">
      <w:pPr>
        <w:ind w:firstLine="709"/>
        <w:jc w:val="both"/>
      </w:pPr>
      <w:r>
        <w:t>- 3 место - проект – «Производство мороженого «</w:t>
      </w:r>
      <w:proofErr w:type="spellStart"/>
      <w:r>
        <w:t>Мороженосанжелес</w:t>
      </w:r>
      <w:proofErr w:type="spellEnd"/>
      <w:r>
        <w:t xml:space="preserve">» МОУ СОШ №8.  </w:t>
      </w:r>
    </w:p>
    <w:p w14:paraId="576B49EA" w14:textId="77777777" w:rsidR="005A7830" w:rsidRDefault="005A7830" w:rsidP="005A7830">
      <w:pPr>
        <w:ind w:firstLine="709"/>
        <w:jc w:val="both"/>
      </w:pPr>
      <w:r>
        <w:t>- номинация «Онлайн-предпринимательство» - проект «Анимационная студия» МОУ СОШ №36.</w:t>
      </w:r>
    </w:p>
    <w:p w14:paraId="49FF87C0" w14:textId="77777777" w:rsidR="005A7830" w:rsidRDefault="005A7830" w:rsidP="005A7830">
      <w:pPr>
        <w:ind w:firstLine="709"/>
        <w:jc w:val="both"/>
      </w:pPr>
      <w:r>
        <w:t>-номинация «Социальное предпринимательство» - проект «Арт-мастерская» МОУ СОШ №8.</w:t>
      </w:r>
    </w:p>
    <w:p w14:paraId="4F7EE385" w14:textId="77777777" w:rsidR="005A7830" w:rsidRDefault="005A7830" w:rsidP="005A7830">
      <w:pPr>
        <w:ind w:firstLine="709"/>
        <w:jc w:val="both"/>
      </w:pPr>
      <w:r>
        <w:t xml:space="preserve">Проведение данного конкурса является уже ежегодной традицией Организаторами конкурса выступают Управление образования администрации города Комсомольска-на-Амуре и Совет по развитию предпринимательства и улучшению инвестиционного климата при Главе города Комсомольска-на-Амуре при содействии Фонда развития г. Комсомольска-на-Амуре, который предоставил призы для победителей. </w:t>
      </w:r>
    </w:p>
    <w:p w14:paraId="29EB7103" w14:textId="1E9B8660" w:rsidR="007274E4" w:rsidRPr="005A7830" w:rsidRDefault="00732362" w:rsidP="005A7830">
      <w:pPr>
        <w:ind w:firstLine="709"/>
        <w:jc w:val="both"/>
      </w:pPr>
      <w:r w:rsidRPr="005A7830">
        <w:t xml:space="preserve">5. Мероприятие </w:t>
      </w:r>
      <w:r w:rsidR="000211CB" w:rsidRPr="005A7830">
        <w:t>«</w:t>
      </w:r>
      <w:r w:rsidRPr="005A7830">
        <w:t>Развитие социального предпринимательства</w:t>
      </w:r>
      <w:r w:rsidR="000211CB" w:rsidRPr="005A7830">
        <w:t>»</w:t>
      </w:r>
      <w:r w:rsidRPr="005A7830">
        <w:t>.</w:t>
      </w:r>
    </w:p>
    <w:p w14:paraId="0B82B575" w14:textId="4AE53C0E" w:rsidR="006B5BCD" w:rsidRPr="005A7830" w:rsidRDefault="00896B57" w:rsidP="00896B57">
      <w:pPr>
        <w:ind w:firstLine="709"/>
        <w:jc w:val="both"/>
      </w:pPr>
      <w:r w:rsidRPr="005A7830">
        <w:t>В целях развития социального предпринимательства в 20</w:t>
      </w:r>
      <w:r w:rsidR="006B5BCD" w:rsidRPr="005A7830">
        <w:t>2</w:t>
      </w:r>
      <w:r w:rsidR="005A7830" w:rsidRPr="005A7830">
        <w:t>4</w:t>
      </w:r>
      <w:r w:rsidRPr="005A7830">
        <w:t xml:space="preserve"> году</w:t>
      </w:r>
      <w:r w:rsidR="000F3DB5" w:rsidRPr="005A7830">
        <w:t xml:space="preserve"> проводилось информирование </w:t>
      </w:r>
      <w:r w:rsidR="006B5BCD" w:rsidRPr="005A7830">
        <w:t xml:space="preserve">о преимущества получения статуса социального предприятия, а также о возможных мерах поддержки путем размещения информации на Сайте и в телеграмм-канале </w:t>
      </w:r>
      <w:r w:rsidR="000211CB" w:rsidRPr="005A7830">
        <w:t>«</w:t>
      </w:r>
      <w:r w:rsidR="006B5BCD" w:rsidRPr="005A7830">
        <w:t>Курс на бизнес</w:t>
      </w:r>
      <w:r w:rsidR="000211CB" w:rsidRPr="005A7830">
        <w:t>»</w:t>
      </w:r>
    </w:p>
    <w:p w14:paraId="747F141F" w14:textId="140CF8C0" w:rsidR="006B5BCD" w:rsidRPr="005A7830" w:rsidRDefault="006B5BCD" w:rsidP="006B5BCD">
      <w:pPr>
        <w:ind w:firstLine="709"/>
        <w:jc w:val="both"/>
      </w:pPr>
      <w:r w:rsidRPr="005A7830">
        <w:t xml:space="preserve">Аналогичная информация размещалась Фондом в социальных сетях, группах </w:t>
      </w:r>
      <w:proofErr w:type="spellStart"/>
      <w:r w:rsidRPr="005A7830">
        <w:t>WhatsApp</w:t>
      </w:r>
      <w:proofErr w:type="spellEnd"/>
      <w:r w:rsidRPr="005A7830">
        <w:t>, доводилась до субъектов МСП и физических лиц при обращении в Фонд за консультационными услугами.</w:t>
      </w:r>
    </w:p>
    <w:p w14:paraId="7C240245" w14:textId="55FF205C" w:rsidR="006B5BCD" w:rsidRPr="005A7830" w:rsidRDefault="006B5BCD" w:rsidP="00896B57">
      <w:pPr>
        <w:ind w:firstLine="709"/>
        <w:jc w:val="both"/>
      </w:pPr>
      <w:r w:rsidRPr="005A7830">
        <w:t xml:space="preserve">Субъекты социального предпринимательства города Комсомольска-на-Амуре приняли участие в конкурсе на предоставление грантов социальным предпринимателям из краевого бюджета и </w:t>
      </w:r>
      <w:r w:rsidR="005A7830" w:rsidRPr="005A7830">
        <w:t>1</w:t>
      </w:r>
      <w:r w:rsidRPr="005A7830">
        <w:t xml:space="preserve"> из них был признан победителями с предоставлением финансовой поддержки </w:t>
      </w:r>
      <w:r w:rsidR="005A7830" w:rsidRPr="005A7830">
        <w:t>в</w:t>
      </w:r>
      <w:r w:rsidRPr="005A7830">
        <w:t xml:space="preserve"> сумме </w:t>
      </w:r>
      <w:r w:rsidR="005A7830" w:rsidRPr="005A7830">
        <w:t>486,58 тыс.</w:t>
      </w:r>
      <w:r w:rsidRPr="005A7830">
        <w:t xml:space="preserve"> рублей.</w:t>
      </w:r>
    </w:p>
    <w:p w14:paraId="3876C38C" w14:textId="2A4A7778" w:rsidR="006B5BCD" w:rsidRPr="005A7830" w:rsidRDefault="00F94E8B" w:rsidP="00896B57">
      <w:pPr>
        <w:ind w:firstLine="709"/>
        <w:jc w:val="both"/>
      </w:pPr>
      <w:r w:rsidRPr="005A7830">
        <w:t>На конец 202</w:t>
      </w:r>
      <w:r w:rsidR="005A7830" w:rsidRPr="005A7830">
        <w:t>4</w:t>
      </w:r>
      <w:r w:rsidRPr="005A7830">
        <w:t xml:space="preserve"> года в Едином реестре субъектов МСП содержится информация о 16 субъектах МСП, имеющих статус социального предприятия.</w:t>
      </w:r>
    </w:p>
    <w:p w14:paraId="4E478A74" w14:textId="6EDCD2FA" w:rsidR="003D54B6" w:rsidRPr="005A7830" w:rsidRDefault="003D54B6" w:rsidP="004324E4">
      <w:pPr>
        <w:autoSpaceDE w:val="0"/>
        <w:autoSpaceDN w:val="0"/>
        <w:adjustRightInd w:val="0"/>
        <w:jc w:val="both"/>
      </w:pPr>
      <w:r w:rsidRPr="005A7830">
        <w:t>Сведения о достигнутых значениях показателей (индикаторов), причинах недостижения запланированных значений показателей (индикаторов) муниципальной программы</w:t>
      </w:r>
      <w:r w:rsidR="004324E4">
        <w:t xml:space="preserve">, сведения о фактическом освоении бюджетных и внебюджетных средств </w:t>
      </w:r>
      <w:r w:rsidRPr="005A7830">
        <w:t>представлены в приложении.</w:t>
      </w:r>
    </w:p>
    <w:p w14:paraId="499E6ADF" w14:textId="5D76CC2B" w:rsidR="00F94E8B" w:rsidRPr="0040727A" w:rsidRDefault="00F94E8B" w:rsidP="003D54B6">
      <w:pPr>
        <w:ind w:firstLine="709"/>
        <w:jc w:val="both"/>
        <w:rPr>
          <w:highlight w:val="yellow"/>
        </w:rPr>
      </w:pPr>
    </w:p>
    <w:p w14:paraId="318381B0" w14:textId="3713F826" w:rsidR="00F94E8B" w:rsidRPr="00A8482B" w:rsidRDefault="00F94E8B" w:rsidP="00F94E8B">
      <w:pPr>
        <w:ind w:firstLine="709"/>
        <w:jc w:val="both"/>
      </w:pPr>
      <w:r w:rsidRPr="00A8482B">
        <w:t>Расчет оценки эффективности реализации муниципальной программы</w:t>
      </w:r>
    </w:p>
    <w:p w14:paraId="7CB1AC40" w14:textId="77777777" w:rsidR="00F94E8B" w:rsidRPr="00A8482B" w:rsidRDefault="00F94E8B" w:rsidP="003D54B6">
      <w:pPr>
        <w:ind w:firstLine="709"/>
        <w:jc w:val="both"/>
      </w:pPr>
    </w:p>
    <w:p w14:paraId="5E24F38F" w14:textId="77777777" w:rsidR="007F21BC" w:rsidRPr="00A8482B" w:rsidRDefault="003802A9" w:rsidP="003802A9">
      <w:pPr>
        <w:ind w:firstLine="709"/>
        <w:jc w:val="both"/>
      </w:pPr>
      <w:r w:rsidRPr="00A8482B">
        <w:t>Для проведения оценк</w:t>
      </w:r>
      <w:r w:rsidR="00A93717" w:rsidRPr="00A8482B">
        <w:t>и</w:t>
      </w:r>
      <w:r w:rsidRPr="00A8482B">
        <w:t xml:space="preserve"> эффективности реализации муниципальной программы согласно методике оценки эффективности реализации муниципальной программы осуществлен расчет показателей.</w:t>
      </w:r>
    </w:p>
    <w:p w14:paraId="4AA0A797" w14:textId="77777777" w:rsidR="003802A9" w:rsidRPr="00A8482B" w:rsidRDefault="003802A9" w:rsidP="003802A9">
      <w:pPr>
        <w:pStyle w:val="a9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spacing w:val="-2"/>
        </w:rPr>
      </w:pPr>
      <w:r w:rsidRPr="00A8482B">
        <w:rPr>
          <w:spacing w:val="-2"/>
        </w:rPr>
        <w:lastRenderedPageBreak/>
        <w:t>Расчет степени достижения целей и решения задач муниципальной программы.</w:t>
      </w:r>
    </w:p>
    <w:p w14:paraId="104A2240" w14:textId="7DD37F60" w:rsidR="003802A9" w:rsidRPr="00A8482B" w:rsidRDefault="003802A9" w:rsidP="003802A9">
      <w:pPr>
        <w:pStyle w:val="a9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spacing w:val="-2"/>
        </w:rPr>
      </w:pPr>
      <w:r w:rsidRPr="00A8482B">
        <w:rPr>
          <w:spacing w:val="-2"/>
        </w:rPr>
        <w:t>Всего на 202</w:t>
      </w:r>
      <w:r w:rsidR="00A8482B">
        <w:rPr>
          <w:spacing w:val="-2"/>
        </w:rPr>
        <w:t>4</w:t>
      </w:r>
      <w:r w:rsidRPr="00A8482B">
        <w:rPr>
          <w:spacing w:val="-2"/>
        </w:rPr>
        <w:t xml:space="preserve"> год Программа содержит 1</w:t>
      </w:r>
      <w:r w:rsidR="00F94E8B" w:rsidRPr="00A8482B">
        <w:rPr>
          <w:spacing w:val="-2"/>
        </w:rPr>
        <w:t>6</w:t>
      </w:r>
      <w:r w:rsidRPr="00A8482B">
        <w:rPr>
          <w:spacing w:val="-2"/>
        </w:rPr>
        <w:t xml:space="preserve"> показателей, учитываемых для оценки эффективности Программы.</w:t>
      </w:r>
    </w:p>
    <w:p w14:paraId="0710B54A" w14:textId="77777777" w:rsidR="003802A9" w:rsidRPr="00A8482B" w:rsidRDefault="003802A9" w:rsidP="003802A9">
      <w:pPr>
        <w:pStyle w:val="a9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spacing w:val="-2"/>
        </w:rPr>
      </w:pPr>
      <w:r w:rsidRPr="00A8482B">
        <w:rPr>
          <w:spacing w:val="-2"/>
        </w:rPr>
        <w:t xml:space="preserve">Степень достижения целей и решения задач муниципальной программы рассчитывается по формуле: </w:t>
      </w:r>
    </w:p>
    <w:p w14:paraId="67129EBF" w14:textId="77777777" w:rsidR="003802A9" w:rsidRPr="00A8482B" w:rsidRDefault="003802A9" w:rsidP="003802A9">
      <w:pPr>
        <w:pStyle w:val="a9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spacing w:val="-2"/>
        </w:rPr>
      </w:pPr>
      <w:r w:rsidRPr="00A8482B">
        <w:rPr>
          <w:noProof/>
          <w:lang w:eastAsia="ru-RU"/>
        </w:rPr>
        <mc:AlternateContent>
          <mc:Choice Requires="wpc">
            <w:drawing>
              <wp:inline distT="0" distB="0" distL="0" distR="0" wp14:anchorId="1B71A905" wp14:editId="726DE986">
                <wp:extent cx="2590800" cy="589915"/>
                <wp:effectExtent l="0" t="76200" r="0" b="635"/>
                <wp:docPr id="17" name="Полотно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43865" y="-62865"/>
                            <a:ext cx="72390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1C93C" w14:textId="77777777" w:rsidR="000B7547" w:rsidRDefault="000B7547" w:rsidP="003802A9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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446655" y="-62865"/>
                            <a:ext cx="72390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89ACB" w14:textId="77777777" w:rsidR="000B7547" w:rsidRDefault="000B7547" w:rsidP="003802A9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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Line 7"/>
                        <wps:cNvCnPr/>
                        <wps:spPr bwMode="auto">
                          <a:xfrm>
                            <a:off x="434975" y="220980"/>
                            <a:ext cx="2061210" cy="0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519680" y="114935"/>
                            <a:ext cx="419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46562" w14:textId="77777777" w:rsidR="000B7547" w:rsidRDefault="000B7547" w:rsidP="003802A9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23670" y="244475"/>
                            <a:ext cx="806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A07995" w14:textId="77777777" w:rsidR="000B7547" w:rsidRDefault="000B7547" w:rsidP="003802A9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74215" y="10160"/>
                            <a:ext cx="4565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670D0F" w14:textId="77777777" w:rsidR="000B7547" w:rsidRDefault="000B7547" w:rsidP="003802A9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Фк/Пк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710055" y="10160"/>
                            <a:ext cx="16573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93194" w14:textId="77777777" w:rsidR="000B7547" w:rsidRPr="00AC62DB" w:rsidRDefault="000B7547" w:rsidP="003802A9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94105" y="10160"/>
                            <a:ext cx="4610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90AC1" w14:textId="77777777" w:rsidR="000B7547" w:rsidRDefault="000B7547" w:rsidP="003802A9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Ф2/П2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93395" y="10160"/>
                            <a:ext cx="4610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B1A0A7" w14:textId="77777777" w:rsidR="000B7547" w:rsidRDefault="000B7547" w:rsidP="003802A9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Ф1/П1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5400" y="114935"/>
                            <a:ext cx="2324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F82DE" w14:textId="77777777" w:rsidR="000B7547" w:rsidRDefault="000B7547" w:rsidP="003802A9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ДИ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853565" y="-889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BBA00A" w14:textId="77777777" w:rsidR="000B7547" w:rsidRDefault="000B7547" w:rsidP="003802A9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87500" y="-889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3D5F3" w14:textId="77777777" w:rsidR="000B7547" w:rsidRDefault="000B7547" w:rsidP="003802A9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73455" y="-889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FDE13" w14:textId="77777777" w:rsidR="000B7547" w:rsidRDefault="000B7547" w:rsidP="003802A9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02260" y="95885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55AA9" w14:textId="77777777" w:rsidR="000B7547" w:rsidRDefault="000B7547" w:rsidP="003802A9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B71A905" id="Полотно 17" o:spid="_x0000_s1026" editas="canvas" style="width:204pt;height:46.45pt;mso-position-horizontal-relative:char;mso-position-vertical-relative:line" coordsize="25908,5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5908;height:5899;visibility:visible;mso-wrap-style:square">
                  <v:fill o:detectmouseclick="t"/>
                  <v:path o:connecttype="none"/>
                </v:shape>
                <v:rect id="Rectangle 5" o:spid="_x0000_s1028" style="position:absolute;left:4438;top:-628;width:724;height:26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14:paraId="2AB1C93C" w14:textId="77777777" w:rsidR="000B7547" w:rsidRDefault="000B7547" w:rsidP="003802A9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</w:t>
                        </w:r>
                      </w:p>
                    </w:txbxContent>
                  </v:textbox>
                </v:rect>
                <v:rect id="Rectangle 6" o:spid="_x0000_s1029" style="position:absolute;left:24466;top:-628;width:724;height:26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14:paraId="6C989ACB" w14:textId="77777777" w:rsidR="000B7547" w:rsidRDefault="000B7547" w:rsidP="003802A9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</w:t>
                        </w:r>
                      </w:p>
                    </w:txbxContent>
                  </v:textbox>
                </v:rect>
                <v:line id="Line 7" o:spid="_x0000_s1030" style="position:absolute;visibility:visible;mso-wrap-style:square" from="4349,2209" to="24961,2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" strokeweight=".55pt"/>
                <v:rect id="Rectangle 8" o:spid="_x0000_s1031" style="position:absolute;left:25196;top:1149;width:419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3AC46562" w14:textId="77777777" w:rsidR="000B7547" w:rsidRDefault="000B7547" w:rsidP="003802A9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9" o:spid="_x0000_s1032" style="position:absolute;left:14236;top:2444;width:807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07A07995" w14:textId="77777777" w:rsidR="000B7547" w:rsidRDefault="000B7547" w:rsidP="003802A9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к</w:t>
                        </w:r>
                      </w:p>
                    </w:txbxContent>
                  </v:textbox>
                </v:rect>
                <v:rect id="Rectangle 10" o:spid="_x0000_s1033" style="position:absolute;left:19742;top:101;width:4565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65670D0F" w14:textId="77777777" w:rsidR="000B7547" w:rsidRDefault="000B7547" w:rsidP="003802A9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Фк/Пк</w:t>
                        </w:r>
                      </w:p>
                    </w:txbxContent>
                  </v:textbox>
                </v:rect>
                <v:rect id="Rectangle 11" o:spid="_x0000_s1034" style="position:absolute;left:17100;top:101;width:1657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15A93194" w14:textId="77777777" w:rsidR="000B7547" w:rsidRPr="00AC62DB" w:rsidRDefault="000B7547" w:rsidP="003802A9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…</w:t>
                        </w:r>
                      </w:p>
                    </w:txbxContent>
                  </v:textbox>
                </v:rect>
                <v:rect id="Rectangle 12" o:spid="_x0000_s1035" style="position:absolute;left:10941;top:101;width:4610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21990AC1" w14:textId="77777777" w:rsidR="000B7547" w:rsidRDefault="000B7547" w:rsidP="003802A9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Ф2/П2</w:t>
                        </w:r>
                      </w:p>
                    </w:txbxContent>
                  </v:textbox>
                </v:rect>
                <v:rect id="Rectangle 13" o:spid="_x0000_s1036" style="position:absolute;left:4933;top:101;width:4611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7BB1A0A7" w14:textId="77777777" w:rsidR="000B7547" w:rsidRDefault="000B7547" w:rsidP="003802A9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Ф1/П1</w:t>
                        </w:r>
                      </w:p>
                    </w:txbxContent>
                  </v:textbox>
                </v:rect>
                <v:rect id="Rectangle 14" o:spid="_x0000_s1037" style="position:absolute;left:254;top:1149;width:2324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3C5F82DE" w14:textId="77777777" w:rsidR="000B7547" w:rsidRDefault="000B7547" w:rsidP="003802A9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ДИ</w:t>
                        </w:r>
                      </w:p>
                    </w:txbxContent>
                  </v:textbox>
                </v:rect>
                <v:rect id="Rectangle 15" o:spid="_x0000_s1038" style="position:absolute;left:18535;top:-88;width:908;height:20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3BBBA00A" w14:textId="77777777" w:rsidR="000B7547" w:rsidRDefault="000B7547" w:rsidP="003802A9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6" o:spid="_x0000_s1039" style="position:absolute;left:15875;top:-88;width:908;height:20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5AD3D5F3" w14:textId="77777777" w:rsidR="000B7547" w:rsidRDefault="000B7547" w:rsidP="003802A9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7" o:spid="_x0000_s1040" style="position:absolute;left:9734;top:-88;width:908;height:20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6BEFDE13" w14:textId="77777777" w:rsidR="000B7547" w:rsidRDefault="000B7547" w:rsidP="003802A9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8" o:spid="_x0000_s1041" style="position:absolute;left:3022;top:958;width:908;height:20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42C55AA9" w14:textId="77777777" w:rsidR="000B7547" w:rsidRDefault="000B7547" w:rsidP="003802A9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061000B" w14:textId="77777777" w:rsidR="003802A9" w:rsidRPr="00A8482B" w:rsidRDefault="003802A9" w:rsidP="003802A9">
      <w:pPr>
        <w:autoSpaceDE w:val="0"/>
        <w:autoSpaceDN w:val="0"/>
        <w:adjustRightInd w:val="0"/>
        <w:ind w:firstLine="709"/>
        <w:jc w:val="both"/>
        <w:outlineLvl w:val="0"/>
      </w:pPr>
      <w:r w:rsidRPr="00A8482B">
        <w:t>где:</w:t>
      </w:r>
    </w:p>
    <w:p w14:paraId="344B8D19" w14:textId="77777777" w:rsidR="003802A9" w:rsidRPr="00A8482B" w:rsidRDefault="003802A9" w:rsidP="003802A9">
      <w:pPr>
        <w:autoSpaceDE w:val="0"/>
        <w:autoSpaceDN w:val="0"/>
        <w:adjustRightInd w:val="0"/>
        <w:ind w:firstLine="709"/>
        <w:jc w:val="both"/>
        <w:outlineLvl w:val="0"/>
      </w:pPr>
      <w:r w:rsidRPr="00A8482B">
        <w:t>ДИ - показатель достижения плановых значений показателей (индикаторов) муниципальной программы;</w:t>
      </w:r>
    </w:p>
    <w:p w14:paraId="5170CF86" w14:textId="77777777" w:rsidR="003802A9" w:rsidRPr="00A8482B" w:rsidRDefault="003802A9" w:rsidP="003802A9">
      <w:pPr>
        <w:autoSpaceDE w:val="0"/>
        <w:autoSpaceDN w:val="0"/>
        <w:adjustRightInd w:val="0"/>
        <w:ind w:firstLine="709"/>
        <w:jc w:val="both"/>
        <w:outlineLvl w:val="0"/>
      </w:pPr>
      <w:r w:rsidRPr="00A8482B">
        <w:t>Ф - фактическое значение показателя (индикатора) муниципальной программы за отчетный период;</w:t>
      </w:r>
    </w:p>
    <w:p w14:paraId="6FD6208B" w14:textId="77777777" w:rsidR="003802A9" w:rsidRPr="00A8482B" w:rsidRDefault="003802A9" w:rsidP="003802A9">
      <w:pPr>
        <w:autoSpaceDE w:val="0"/>
        <w:autoSpaceDN w:val="0"/>
        <w:adjustRightInd w:val="0"/>
        <w:ind w:firstLine="709"/>
        <w:jc w:val="both"/>
        <w:outlineLvl w:val="0"/>
      </w:pPr>
      <w:r w:rsidRPr="00A8482B">
        <w:t>П - планируемое значение достижения показателя (индикатора) муниципальной программы за отчетный период;</w:t>
      </w:r>
    </w:p>
    <w:p w14:paraId="04AB5EAC" w14:textId="77777777" w:rsidR="003802A9" w:rsidRPr="00A8482B" w:rsidRDefault="003802A9" w:rsidP="003802A9">
      <w:pPr>
        <w:autoSpaceDE w:val="0"/>
        <w:autoSpaceDN w:val="0"/>
        <w:adjustRightInd w:val="0"/>
        <w:ind w:firstLine="709"/>
        <w:jc w:val="both"/>
        <w:outlineLvl w:val="0"/>
      </w:pPr>
      <w:r w:rsidRPr="00A8482B">
        <w:t>к - количество показателей (индикаторов) муниципальной программы, запланированных к достижению в отчетном году.</w:t>
      </w:r>
    </w:p>
    <w:p w14:paraId="3D5BAECC" w14:textId="77777777" w:rsidR="003802A9" w:rsidRPr="0040727A" w:rsidRDefault="003802A9" w:rsidP="003802A9">
      <w:pPr>
        <w:autoSpaceDE w:val="0"/>
        <w:autoSpaceDN w:val="0"/>
        <w:adjustRightInd w:val="0"/>
        <w:ind w:firstLine="709"/>
        <w:jc w:val="both"/>
        <w:outlineLvl w:val="0"/>
        <w:rPr>
          <w:highlight w:val="yellow"/>
        </w:rPr>
      </w:pPr>
    </w:p>
    <w:p w14:paraId="014D9870" w14:textId="029768CC" w:rsidR="003802A9" w:rsidRPr="00A8482B" w:rsidRDefault="000E2A52" w:rsidP="003802A9">
      <w:pPr>
        <w:autoSpaceDE w:val="0"/>
        <w:autoSpaceDN w:val="0"/>
        <w:adjustRightInd w:val="0"/>
        <w:ind w:firstLine="709"/>
        <w:jc w:val="both"/>
        <w:outlineLvl w:val="0"/>
        <w:rPr>
          <w:sz w:val="21"/>
          <w:szCs w:val="21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 xml:space="preserve">Д=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294,7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293,5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6923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6893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164,1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144,5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20,5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21,5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92653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92210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29,8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29,3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1534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1436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84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80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34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97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92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1344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1381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46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30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133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130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)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16</m:t>
              </m:r>
            </m:den>
          </m:f>
        </m:oMath>
      </m:oMathPara>
    </w:p>
    <w:p w14:paraId="18DDA960" w14:textId="77777777" w:rsidR="00E02624" w:rsidRPr="00A8482B" w:rsidRDefault="00E02624" w:rsidP="003802A9">
      <w:pPr>
        <w:pStyle w:val="a9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spacing w:val="-2"/>
        </w:rPr>
      </w:pPr>
    </w:p>
    <w:p w14:paraId="0AB7938F" w14:textId="0BD87F54" w:rsidR="003802A9" w:rsidRPr="00A8482B" w:rsidRDefault="003802A9" w:rsidP="003802A9">
      <w:pPr>
        <w:pStyle w:val="a9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spacing w:val="-2"/>
        </w:rPr>
      </w:pPr>
      <w:r w:rsidRPr="00A8482B">
        <w:rPr>
          <w:spacing w:val="-2"/>
        </w:rPr>
        <w:t>С учетом, что при достижении показателя, считается, что Ф/П равен 1, то ДИ = 0,9</w:t>
      </w:r>
      <w:r w:rsidR="00A8482B" w:rsidRPr="00A8482B">
        <w:rPr>
          <w:spacing w:val="-2"/>
        </w:rPr>
        <w:t>95</w:t>
      </w:r>
    </w:p>
    <w:p w14:paraId="3FA47F19" w14:textId="77777777" w:rsidR="003802A9" w:rsidRPr="00A8482B" w:rsidRDefault="003802A9" w:rsidP="003802A9">
      <w:pPr>
        <w:pStyle w:val="a9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pacing w:val="-2"/>
        </w:rPr>
      </w:pPr>
      <w:r w:rsidRPr="00A8482B">
        <w:rPr>
          <w:rFonts w:eastAsiaTheme="minorEastAsia"/>
          <w:spacing w:val="-2"/>
        </w:rPr>
        <w:t>Степень исполнения запланированного уровня бюджетных расходов.</w:t>
      </w:r>
    </w:p>
    <w:p w14:paraId="0AAC6200" w14:textId="77777777" w:rsidR="001F06B0" w:rsidRPr="001F06B0" w:rsidRDefault="001F06B0" w:rsidP="001F06B0">
      <w:pPr>
        <w:autoSpaceDE w:val="0"/>
        <w:autoSpaceDN w:val="0"/>
        <w:adjustRightInd w:val="0"/>
        <w:ind w:firstLine="709"/>
        <w:jc w:val="both"/>
        <w:rPr>
          <w:rFonts w:eastAsiaTheme="minorEastAsia"/>
          <w:spacing w:val="-2"/>
        </w:rPr>
      </w:pPr>
      <w:r w:rsidRPr="001F06B0">
        <w:rPr>
          <w:rFonts w:eastAsiaTheme="minorEastAsia"/>
          <w:spacing w:val="-2"/>
        </w:rPr>
        <w:t xml:space="preserve">Рассчитывается по формуле: </w:t>
      </w:r>
    </w:p>
    <w:p w14:paraId="12385E1D" w14:textId="77777777" w:rsidR="001F06B0" w:rsidRPr="001F06B0" w:rsidRDefault="001F06B0" w:rsidP="001F06B0">
      <w:pPr>
        <w:autoSpaceDE w:val="0"/>
        <w:autoSpaceDN w:val="0"/>
        <w:adjustRightInd w:val="0"/>
        <w:ind w:firstLine="709"/>
        <w:jc w:val="both"/>
        <w:rPr>
          <w:rFonts w:eastAsiaTheme="minorEastAsia"/>
          <w:spacing w:val="-2"/>
        </w:rPr>
      </w:pPr>
      <w:r w:rsidRPr="001F06B0">
        <w:rPr>
          <w:rFonts w:eastAsiaTheme="minorEastAsia"/>
          <w:spacing w:val="-2"/>
        </w:rPr>
        <w:t>БЛ = КР / Л,</w:t>
      </w:r>
    </w:p>
    <w:p w14:paraId="177F3649" w14:textId="77777777" w:rsidR="001F06B0" w:rsidRPr="001F06B0" w:rsidRDefault="001F06B0" w:rsidP="001F06B0">
      <w:pPr>
        <w:autoSpaceDE w:val="0"/>
        <w:autoSpaceDN w:val="0"/>
        <w:adjustRightInd w:val="0"/>
        <w:ind w:firstLine="709"/>
        <w:jc w:val="both"/>
        <w:rPr>
          <w:rFonts w:eastAsiaTheme="minorEastAsia"/>
          <w:spacing w:val="-2"/>
        </w:rPr>
      </w:pPr>
      <w:r w:rsidRPr="001F06B0">
        <w:rPr>
          <w:rFonts w:eastAsiaTheme="minorEastAsia"/>
          <w:spacing w:val="-2"/>
        </w:rPr>
        <w:t>где:</w:t>
      </w:r>
    </w:p>
    <w:p w14:paraId="06524765" w14:textId="77777777" w:rsidR="001F06B0" w:rsidRPr="001F06B0" w:rsidRDefault="001F06B0" w:rsidP="001F06B0">
      <w:pPr>
        <w:autoSpaceDE w:val="0"/>
        <w:autoSpaceDN w:val="0"/>
        <w:adjustRightInd w:val="0"/>
        <w:ind w:firstLine="709"/>
        <w:jc w:val="both"/>
        <w:rPr>
          <w:rFonts w:eastAsiaTheme="minorEastAsia"/>
          <w:spacing w:val="-2"/>
        </w:rPr>
      </w:pPr>
      <w:r w:rsidRPr="001F06B0">
        <w:rPr>
          <w:rFonts w:eastAsiaTheme="minorEastAsia"/>
          <w:spacing w:val="-2"/>
        </w:rPr>
        <w:t>КР - кассовое исполнение бюджетных ассигнований, предусмотренных на реализацию муниципальной программы в отчетном году, в тыс. рублей;</w:t>
      </w:r>
    </w:p>
    <w:p w14:paraId="1D899C00" w14:textId="77777777" w:rsidR="001F06B0" w:rsidRPr="001F06B0" w:rsidRDefault="001F06B0" w:rsidP="001F06B0">
      <w:pPr>
        <w:autoSpaceDE w:val="0"/>
        <w:autoSpaceDN w:val="0"/>
        <w:adjustRightInd w:val="0"/>
        <w:ind w:firstLine="709"/>
        <w:jc w:val="both"/>
        <w:rPr>
          <w:rFonts w:eastAsiaTheme="minorEastAsia"/>
          <w:spacing w:val="-2"/>
        </w:rPr>
      </w:pPr>
      <w:r w:rsidRPr="001F06B0">
        <w:rPr>
          <w:rFonts w:eastAsiaTheme="minorEastAsia"/>
          <w:spacing w:val="-2"/>
        </w:rPr>
        <w:t>Л - объем бюджетных ассигнований на реализацию муниципальной программы в отчетном году согласно сводной бюджетной росписи по состоянию на 31 декабря отчетного года, в тыс. рублей.</w:t>
      </w:r>
    </w:p>
    <w:p w14:paraId="43326937" w14:textId="77777777" w:rsidR="001F06B0" w:rsidRPr="001F06B0" w:rsidRDefault="001F06B0" w:rsidP="001F06B0">
      <w:pPr>
        <w:autoSpaceDE w:val="0"/>
        <w:autoSpaceDN w:val="0"/>
        <w:adjustRightInd w:val="0"/>
        <w:ind w:firstLine="709"/>
        <w:jc w:val="both"/>
        <w:rPr>
          <w:rFonts w:eastAsiaTheme="minorEastAsia"/>
          <w:spacing w:val="-2"/>
        </w:rPr>
      </w:pPr>
      <w:r w:rsidRPr="001F06B0">
        <w:rPr>
          <w:rFonts w:eastAsiaTheme="minorEastAsia"/>
          <w:spacing w:val="-2"/>
        </w:rPr>
        <w:t>БЛ = 1509,92/1509,92 = 1</w:t>
      </w:r>
    </w:p>
    <w:p w14:paraId="3CB34208" w14:textId="66A65B72" w:rsidR="00A90F5C" w:rsidRPr="00A8482B" w:rsidRDefault="001F06B0" w:rsidP="001F06B0">
      <w:pPr>
        <w:autoSpaceDE w:val="0"/>
        <w:autoSpaceDN w:val="0"/>
        <w:adjustRightInd w:val="0"/>
        <w:ind w:firstLine="709"/>
        <w:jc w:val="both"/>
      </w:pPr>
      <w:r w:rsidRPr="001F06B0">
        <w:rPr>
          <w:rFonts w:eastAsiaTheme="minorEastAsia"/>
          <w:spacing w:val="-2"/>
        </w:rPr>
        <w:t>Так как БЛ больше 1, то считается, что БЛ = 1.</w:t>
      </w:r>
    </w:p>
    <w:p w14:paraId="4FFAC21E" w14:textId="77777777" w:rsidR="003802A9" w:rsidRPr="00A8482B" w:rsidRDefault="003802A9" w:rsidP="003802A9">
      <w:pPr>
        <w:pStyle w:val="a9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pacing w:val="-2"/>
        </w:rPr>
      </w:pPr>
      <w:r w:rsidRPr="00A8482B">
        <w:rPr>
          <w:rFonts w:eastAsiaTheme="minorEastAsia"/>
          <w:spacing w:val="-2"/>
        </w:rPr>
        <w:t>Степень реализации мероприятий и основных мероприятий Программы.</w:t>
      </w:r>
    </w:p>
    <w:p w14:paraId="61F5E445" w14:textId="77777777" w:rsidR="003802A9" w:rsidRPr="00A8482B" w:rsidRDefault="003802A9" w:rsidP="003802A9">
      <w:pPr>
        <w:pStyle w:val="a9"/>
        <w:autoSpaceDE w:val="0"/>
        <w:autoSpaceDN w:val="0"/>
        <w:adjustRightInd w:val="0"/>
        <w:ind w:left="0" w:firstLine="709"/>
        <w:jc w:val="both"/>
        <w:rPr>
          <w:rFonts w:eastAsiaTheme="minorEastAsia"/>
          <w:spacing w:val="-2"/>
        </w:rPr>
      </w:pPr>
      <w:r w:rsidRPr="00A8482B">
        <w:rPr>
          <w:rFonts w:eastAsiaTheme="minorEastAsia"/>
          <w:spacing w:val="-2"/>
        </w:rPr>
        <w:t>Степень реализации мероприятий Программы рассчитывается по формуле:</w:t>
      </w:r>
    </w:p>
    <w:p w14:paraId="31431012" w14:textId="77777777" w:rsidR="003802A9" w:rsidRPr="00A8482B" w:rsidRDefault="003802A9" w:rsidP="003802A9">
      <w:pPr>
        <w:pStyle w:val="a9"/>
        <w:autoSpaceDE w:val="0"/>
        <w:autoSpaceDN w:val="0"/>
        <w:adjustRightInd w:val="0"/>
        <w:ind w:left="0" w:firstLine="709"/>
        <w:jc w:val="both"/>
        <w:rPr>
          <w:rFonts w:eastAsiaTheme="minorEastAsia"/>
          <w:spacing w:val="-2"/>
        </w:rPr>
      </w:pPr>
      <w:r w:rsidRPr="00A8482B">
        <w:rPr>
          <w:rFonts w:eastAsiaTheme="minorEastAsia"/>
          <w:spacing w:val="-2"/>
        </w:rPr>
        <w:t>ССм = Мв / М,</w:t>
      </w:r>
    </w:p>
    <w:p w14:paraId="74CC56AE" w14:textId="77777777" w:rsidR="003802A9" w:rsidRPr="00A8482B" w:rsidRDefault="003802A9" w:rsidP="003802A9">
      <w:pPr>
        <w:pStyle w:val="a9"/>
        <w:autoSpaceDE w:val="0"/>
        <w:autoSpaceDN w:val="0"/>
        <w:adjustRightInd w:val="0"/>
        <w:ind w:left="0" w:firstLine="709"/>
        <w:jc w:val="both"/>
        <w:rPr>
          <w:rFonts w:eastAsiaTheme="minorEastAsia"/>
          <w:spacing w:val="-2"/>
        </w:rPr>
      </w:pPr>
      <w:r w:rsidRPr="00A8482B">
        <w:rPr>
          <w:rFonts w:eastAsiaTheme="minorEastAsia"/>
          <w:spacing w:val="-2"/>
        </w:rPr>
        <w:t>где:</w:t>
      </w:r>
    </w:p>
    <w:p w14:paraId="5E2650BD" w14:textId="77777777" w:rsidR="003802A9" w:rsidRPr="00A8482B" w:rsidRDefault="003802A9" w:rsidP="003802A9">
      <w:pPr>
        <w:pStyle w:val="a9"/>
        <w:autoSpaceDE w:val="0"/>
        <w:autoSpaceDN w:val="0"/>
        <w:adjustRightInd w:val="0"/>
        <w:ind w:left="0" w:firstLine="709"/>
        <w:jc w:val="both"/>
        <w:rPr>
          <w:rFonts w:eastAsiaTheme="minorEastAsia"/>
          <w:spacing w:val="-2"/>
        </w:rPr>
      </w:pPr>
      <w:r w:rsidRPr="00A8482B">
        <w:rPr>
          <w:rFonts w:eastAsiaTheme="minorEastAsia"/>
          <w:spacing w:val="-2"/>
        </w:rPr>
        <w:t>ССм - показатель степени реализации мероприятий;</w:t>
      </w:r>
    </w:p>
    <w:p w14:paraId="7EF4427D" w14:textId="77777777" w:rsidR="003802A9" w:rsidRPr="00A8482B" w:rsidRDefault="003802A9" w:rsidP="003802A9">
      <w:pPr>
        <w:pStyle w:val="a9"/>
        <w:autoSpaceDE w:val="0"/>
        <w:autoSpaceDN w:val="0"/>
        <w:adjustRightInd w:val="0"/>
        <w:ind w:left="0" w:firstLine="709"/>
        <w:jc w:val="both"/>
        <w:rPr>
          <w:rFonts w:eastAsiaTheme="minorEastAsia"/>
          <w:spacing w:val="-2"/>
        </w:rPr>
      </w:pPr>
      <w:r w:rsidRPr="00A8482B">
        <w:rPr>
          <w:rFonts w:eastAsiaTheme="minorEastAsia"/>
          <w:spacing w:val="-2"/>
        </w:rPr>
        <w:lastRenderedPageBreak/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14:paraId="7BA7C1D3" w14:textId="77777777" w:rsidR="003802A9" w:rsidRPr="00A8482B" w:rsidRDefault="003802A9" w:rsidP="003802A9">
      <w:pPr>
        <w:pStyle w:val="a9"/>
        <w:autoSpaceDE w:val="0"/>
        <w:autoSpaceDN w:val="0"/>
        <w:adjustRightInd w:val="0"/>
        <w:ind w:left="0" w:firstLine="709"/>
        <w:jc w:val="both"/>
        <w:rPr>
          <w:rFonts w:eastAsiaTheme="minorEastAsia"/>
          <w:spacing w:val="-2"/>
        </w:rPr>
      </w:pPr>
      <w:r w:rsidRPr="00A8482B">
        <w:rPr>
          <w:rFonts w:eastAsiaTheme="minorEastAsia"/>
          <w:spacing w:val="-2"/>
        </w:rPr>
        <w:t>М - общее количество мероприятий, запланированных к реализации в отчетном году.</w:t>
      </w:r>
    </w:p>
    <w:p w14:paraId="6DC3A4C6" w14:textId="28285074" w:rsidR="003802A9" w:rsidRPr="00A8482B" w:rsidRDefault="003802A9" w:rsidP="003802A9">
      <w:pPr>
        <w:autoSpaceDE w:val="0"/>
        <w:autoSpaceDN w:val="0"/>
        <w:adjustRightInd w:val="0"/>
        <w:ind w:firstLine="709"/>
        <w:jc w:val="both"/>
        <w:rPr>
          <w:rFonts w:eastAsiaTheme="minorEastAsia"/>
          <w:spacing w:val="-2"/>
        </w:rPr>
      </w:pPr>
      <w:r w:rsidRPr="00A8482B">
        <w:rPr>
          <w:rFonts w:eastAsiaTheme="minorEastAsia"/>
          <w:spacing w:val="-2"/>
        </w:rPr>
        <w:t>Общее количество Программы, запланированных к реализации в 20</w:t>
      </w:r>
      <w:r w:rsidR="00E02624" w:rsidRPr="00A8482B">
        <w:rPr>
          <w:rFonts w:eastAsiaTheme="minorEastAsia"/>
          <w:spacing w:val="-2"/>
        </w:rPr>
        <w:t>2</w:t>
      </w:r>
      <w:r w:rsidR="00A8482B" w:rsidRPr="00A8482B">
        <w:rPr>
          <w:rFonts w:eastAsiaTheme="minorEastAsia"/>
          <w:spacing w:val="-2"/>
        </w:rPr>
        <w:t>4</w:t>
      </w:r>
      <w:r w:rsidR="006129F1" w:rsidRPr="00A8482B">
        <w:rPr>
          <w:rFonts w:eastAsiaTheme="minorEastAsia"/>
          <w:spacing w:val="-2"/>
        </w:rPr>
        <w:t> </w:t>
      </w:r>
      <w:r w:rsidRPr="00A8482B">
        <w:rPr>
          <w:rFonts w:eastAsiaTheme="minorEastAsia"/>
          <w:spacing w:val="-2"/>
        </w:rPr>
        <w:t>году, составляет 1</w:t>
      </w:r>
      <w:r w:rsidR="00A90F5C" w:rsidRPr="00A8482B">
        <w:rPr>
          <w:rFonts w:eastAsiaTheme="minorEastAsia"/>
          <w:spacing w:val="-2"/>
        </w:rPr>
        <w:t>3</w:t>
      </w:r>
      <w:r w:rsidRPr="00A8482B">
        <w:rPr>
          <w:rFonts w:eastAsiaTheme="minorEastAsia"/>
          <w:spacing w:val="-2"/>
        </w:rPr>
        <w:t xml:space="preserve"> единиц, из которых выполнено в полном объеме </w:t>
      </w:r>
      <w:r w:rsidR="00A90F5C" w:rsidRPr="00A8482B">
        <w:rPr>
          <w:rFonts w:eastAsiaTheme="minorEastAsia"/>
          <w:spacing w:val="-2"/>
        </w:rPr>
        <w:t>1</w:t>
      </w:r>
      <w:r w:rsidR="00A8482B" w:rsidRPr="00A8482B">
        <w:rPr>
          <w:rFonts w:eastAsiaTheme="minorEastAsia"/>
          <w:spacing w:val="-2"/>
        </w:rPr>
        <w:t>2</w:t>
      </w:r>
      <w:r w:rsidR="006129F1" w:rsidRPr="00A8482B">
        <w:rPr>
          <w:rFonts w:eastAsiaTheme="minorEastAsia"/>
          <w:spacing w:val="-2"/>
        </w:rPr>
        <w:t> </w:t>
      </w:r>
      <w:r w:rsidRPr="00A8482B">
        <w:rPr>
          <w:rFonts w:eastAsiaTheme="minorEastAsia"/>
          <w:spacing w:val="-2"/>
        </w:rPr>
        <w:t>мероприятий.</w:t>
      </w:r>
    </w:p>
    <w:p w14:paraId="48E43472" w14:textId="5100F717" w:rsidR="003802A9" w:rsidRPr="00A8482B" w:rsidRDefault="003802A9" w:rsidP="003802A9">
      <w:pPr>
        <w:autoSpaceDE w:val="0"/>
        <w:autoSpaceDN w:val="0"/>
        <w:adjustRightInd w:val="0"/>
        <w:ind w:firstLine="709"/>
        <w:jc w:val="both"/>
        <w:rPr>
          <w:rFonts w:eastAsiaTheme="minorEastAsia"/>
          <w:spacing w:val="-2"/>
        </w:rPr>
      </w:pPr>
      <w:r w:rsidRPr="00A8482B">
        <w:rPr>
          <w:rFonts w:eastAsiaTheme="minorEastAsia"/>
          <w:spacing w:val="-2"/>
        </w:rPr>
        <w:t xml:space="preserve">ССм = </w:t>
      </w:r>
      <w:r w:rsidR="00A90F5C" w:rsidRPr="00A8482B">
        <w:rPr>
          <w:rFonts w:eastAsiaTheme="minorEastAsia"/>
          <w:spacing w:val="-2"/>
        </w:rPr>
        <w:t>1</w:t>
      </w:r>
      <w:r w:rsidR="00A8482B" w:rsidRPr="00A8482B">
        <w:rPr>
          <w:rFonts w:eastAsiaTheme="minorEastAsia"/>
          <w:spacing w:val="-2"/>
        </w:rPr>
        <w:t>2</w:t>
      </w:r>
      <w:r w:rsidR="00E02624" w:rsidRPr="00A8482B">
        <w:rPr>
          <w:rFonts w:eastAsiaTheme="minorEastAsia"/>
          <w:spacing w:val="-2"/>
        </w:rPr>
        <w:t>/1</w:t>
      </w:r>
      <w:r w:rsidR="00A90F5C" w:rsidRPr="00A8482B">
        <w:rPr>
          <w:rFonts w:eastAsiaTheme="minorEastAsia"/>
          <w:spacing w:val="-2"/>
        </w:rPr>
        <w:t>3</w:t>
      </w:r>
      <w:r w:rsidRPr="00A8482B">
        <w:rPr>
          <w:rFonts w:eastAsiaTheme="minorEastAsia"/>
          <w:spacing w:val="-2"/>
        </w:rPr>
        <w:t xml:space="preserve"> = </w:t>
      </w:r>
      <w:r w:rsidR="00A8482B" w:rsidRPr="00A8482B">
        <w:rPr>
          <w:rFonts w:eastAsiaTheme="minorEastAsia"/>
          <w:spacing w:val="-2"/>
        </w:rPr>
        <w:t>0,923</w:t>
      </w:r>
    </w:p>
    <w:p w14:paraId="75BCCA2F" w14:textId="77777777" w:rsidR="003802A9" w:rsidRPr="00A8482B" w:rsidRDefault="003802A9" w:rsidP="003802A9">
      <w:pPr>
        <w:pStyle w:val="a9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pacing w:val="-2"/>
        </w:rPr>
      </w:pPr>
      <w:r w:rsidRPr="00A8482B">
        <w:rPr>
          <w:rFonts w:eastAsiaTheme="minorEastAsia"/>
          <w:spacing w:val="-2"/>
        </w:rPr>
        <w:t>Расчет оценки эффективности Программы определяется по формуле:</w:t>
      </w:r>
    </w:p>
    <w:p w14:paraId="66A565EE" w14:textId="77777777" w:rsidR="003802A9" w:rsidRPr="00A8482B" w:rsidRDefault="003802A9" w:rsidP="003802A9">
      <w:pPr>
        <w:pStyle w:val="a9"/>
        <w:autoSpaceDE w:val="0"/>
        <w:autoSpaceDN w:val="0"/>
        <w:adjustRightInd w:val="0"/>
        <w:ind w:left="0" w:firstLine="709"/>
        <w:jc w:val="both"/>
        <w:rPr>
          <w:rFonts w:eastAsiaTheme="minorEastAsia"/>
          <w:spacing w:val="-2"/>
        </w:rPr>
      </w:pPr>
      <w:r w:rsidRPr="00A8482B">
        <w:rPr>
          <w:rFonts w:eastAsiaTheme="minorEastAsia"/>
          <w:spacing w:val="-2"/>
        </w:rPr>
        <w:t>Оп = 0,6 x ДИ + 0,25 x БЛ + 0,15 x ССм,</w:t>
      </w:r>
    </w:p>
    <w:p w14:paraId="72445B36" w14:textId="77777777" w:rsidR="003802A9" w:rsidRPr="00A8482B" w:rsidRDefault="003802A9" w:rsidP="003802A9">
      <w:pPr>
        <w:pStyle w:val="a9"/>
        <w:autoSpaceDE w:val="0"/>
        <w:autoSpaceDN w:val="0"/>
        <w:adjustRightInd w:val="0"/>
        <w:ind w:left="0" w:firstLine="709"/>
        <w:jc w:val="both"/>
        <w:rPr>
          <w:rFonts w:eastAsiaTheme="minorEastAsia"/>
          <w:spacing w:val="-2"/>
        </w:rPr>
      </w:pPr>
      <w:r w:rsidRPr="00A8482B">
        <w:rPr>
          <w:rFonts w:eastAsiaTheme="minorEastAsia"/>
          <w:spacing w:val="-2"/>
        </w:rPr>
        <w:t>где:</w:t>
      </w:r>
    </w:p>
    <w:p w14:paraId="436C1B35" w14:textId="77777777" w:rsidR="003802A9" w:rsidRPr="00A8482B" w:rsidRDefault="003802A9" w:rsidP="003802A9">
      <w:pPr>
        <w:pStyle w:val="a9"/>
        <w:autoSpaceDE w:val="0"/>
        <w:autoSpaceDN w:val="0"/>
        <w:adjustRightInd w:val="0"/>
        <w:ind w:left="0" w:firstLine="709"/>
        <w:jc w:val="both"/>
        <w:rPr>
          <w:rFonts w:eastAsiaTheme="minorEastAsia"/>
          <w:spacing w:val="-2"/>
        </w:rPr>
      </w:pPr>
      <w:r w:rsidRPr="00A8482B">
        <w:rPr>
          <w:rFonts w:eastAsiaTheme="minorEastAsia"/>
          <w:spacing w:val="-2"/>
        </w:rPr>
        <w:t>ДИ - показатель достижения плановых значений показателей (индикаторов) муниципальной программы;</w:t>
      </w:r>
    </w:p>
    <w:p w14:paraId="255C8C02" w14:textId="77777777" w:rsidR="003802A9" w:rsidRPr="00A8482B" w:rsidRDefault="003802A9" w:rsidP="003802A9">
      <w:pPr>
        <w:pStyle w:val="a9"/>
        <w:autoSpaceDE w:val="0"/>
        <w:autoSpaceDN w:val="0"/>
        <w:adjustRightInd w:val="0"/>
        <w:ind w:left="0" w:firstLine="709"/>
        <w:jc w:val="both"/>
        <w:rPr>
          <w:rFonts w:eastAsiaTheme="minorEastAsia"/>
          <w:spacing w:val="-2"/>
        </w:rPr>
      </w:pPr>
      <w:r w:rsidRPr="00A8482B">
        <w:rPr>
          <w:rFonts w:eastAsiaTheme="minorEastAsia"/>
          <w:spacing w:val="-2"/>
        </w:rPr>
        <w:t>БЛ - показатель исполнения запланированного уровня расходов местного бюджета;</w:t>
      </w:r>
    </w:p>
    <w:p w14:paraId="6A73F4B4" w14:textId="77777777" w:rsidR="003802A9" w:rsidRPr="00A8482B" w:rsidRDefault="003802A9" w:rsidP="003802A9">
      <w:pPr>
        <w:pStyle w:val="a9"/>
        <w:autoSpaceDE w:val="0"/>
        <w:autoSpaceDN w:val="0"/>
        <w:adjustRightInd w:val="0"/>
        <w:ind w:left="0" w:firstLine="709"/>
        <w:jc w:val="both"/>
        <w:rPr>
          <w:rFonts w:eastAsiaTheme="minorEastAsia"/>
          <w:spacing w:val="-2"/>
        </w:rPr>
      </w:pPr>
      <w:r w:rsidRPr="00A8482B">
        <w:rPr>
          <w:rFonts w:eastAsiaTheme="minorEastAsia"/>
          <w:spacing w:val="-2"/>
        </w:rPr>
        <w:t>ССм - показатель степени реализации мероприятий муниципальной программы.</w:t>
      </w:r>
    </w:p>
    <w:p w14:paraId="7D7F7E45" w14:textId="09C0666C" w:rsidR="003802A9" w:rsidRPr="00A8482B" w:rsidRDefault="003802A9" w:rsidP="003802A9">
      <w:pPr>
        <w:pStyle w:val="a9"/>
        <w:autoSpaceDE w:val="0"/>
        <w:autoSpaceDN w:val="0"/>
        <w:adjustRightInd w:val="0"/>
        <w:ind w:left="0" w:firstLine="709"/>
        <w:jc w:val="both"/>
        <w:rPr>
          <w:rFonts w:eastAsiaTheme="minorEastAsia"/>
          <w:spacing w:val="-2"/>
        </w:rPr>
      </w:pPr>
      <w:r w:rsidRPr="00A8482B">
        <w:rPr>
          <w:rFonts w:eastAsiaTheme="minorEastAsia"/>
          <w:spacing w:val="-2"/>
        </w:rPr>
        <w:t>Оп = 0,6 х 0,9</w:t>
      </w:r>
      <w:r w:rsidR="00A8482B" w:rsidRPr="00A8482B">
        <w:rPr>
          <w:rFonts w:eastAsiaTheme="minorEastAsia"/>
          <w:spacing w:val="-2"/>
        </w:rPr>
        <w:t>95</w:t>
      </w:r>
      <w:r w:rsidRPr="00A8482B">
        <w:rPr>
          <w:rFonts w:eastAsiaTheme="minorEastAsia"/>
          <w:spacing w:val="-2"/>
        </w:rPr>
        <w:t xml:space="preserve"> + 0,25 х 1,000 + 0,15 х </w:t>
      </w:r>
      <w:r w:rsidR="00A8482B" w:rsidRPr="00A8482B">
        <w:rPr>
          <w:rFonts w:eastAsiaTheme="minorEastAsia"/>
          <w:spacing w:val="-2"/>
        </w:rPr>
        <w:t>0,923</w:t>
      </w:r>
    </w:p>
    <w:p w14:paraId="1F1C17F3" w14:textId="71DA9E05" w:rsidR="003802A9" w:rsidRPr="00A8482B" w:rsidRDefault="003802A9" w:rsidP="003802A9">
      <w:pPr>
        <w:pStyle w:val="a9"/>
        <w:autoSpaceDE w:val="0"/>
        <w:autoSpaceDN w:val="0"/>
        <w:adjustRightInd w:val="0"/>
        <w:ind w:left="0" w:firstLine="709"/>
        <w:jc w:val="both"/>
        <w:rPr>
          <w:rFonts w:eastAsiaTheme="minorEastAsia"/>
          <w:spacing w:val="-2"/>
        </w:rPr>
      </w:pPr>
      <w:r w:rsidRPr="00A8482B">
        <w:rPr>
          <w:rFonts w:eastAsiaTheme="minorEastAsia"/>
          <w:spacing w:val="-2"/>
        </w:rPr>
        <w:t>Таким образом, эффективность Программы составляет 0,9</w:t>
      </w:r>
      <w:r w:rsidR="00A90F5C" w:rsidRPr="00A8482B">
        <w:rPr>
          <w:rFonts w:eastAsiaTheme="minorEastAsia"/>
          <w:spacing w:val="-2"/>
        </w:rPr>
        <w:t>8</w:t>
      </w:r>
      <w:r w:rsidR="00987A97">
        <w:rPr>
          <w:rFonts w:eastAsiaTheme="minorEastAsia"/>
          <w:spacing w:val="-2"/>
        </w:rPr>
        <w:t>6</w:t>
      </w:r>
      <w:r w:rsidRPr="00A8482B">
        <w:rPr>
          <w:rFonts w:eastAsiaTheme="minorEastAsia"/>
          <w:spacing w:val="-2"/>
        </w:rPr>
        <w:t xml:space="preserve"> (программа эффективная).</w:t>
      </w:r>
    </w:p>
    <w:p w14:paraId="4FC34EF5" w14:textId="12B8EBF1" w:rsidR="00A8482B" w:rsidRDefault="00A8482B" w:rsidP="00A8482B">
      <w:pPr>
        <w:pStyle w:val="a9"/>
        <w:autoSpaceDE w:val="0"/>
        <w:autoSpaceDN w:val="0"/>
        <w:adjustRightInd w:val="0"/>
        <w:ind w:left="0" w:firstLine="709"/>
        <w:jc w:val="both"/>
        <w:rPr>
          <w:rFonts w:eastAsiaTheme="minorEastAsia"/>
          <w:spacing w:val="-2"/>
        </w:rPr>
      </w:pPr>
    </w:p>
    <w:p w14:paraId="5B403558" w14:textId="77777777" w:rsidR="00A8482B" w:rsidRPr="0040727A" w:rsidRDefault="00A8482B" w:rsidP="00A8482B">
      <w:pPr>
        <w:pStyle w:val="a9"/>
        <w:autoSpaceDE w:val="0"/>
        <w:autoSpaceDN w:val="0"/>
        <w:adjustRightInd w:val="0"/>
        <w:ind w:left="0" w:firstLine="709"/>
        <w:jc w:val="both"/>
        <w:rPr>
          <w:highlight w:val="yellow"/>
        </w:rPr>
      </w:pPr>
    </w:p>
    <w:p w14:paraId="3C95C015" w14:textId="4F6672BE" w:rsidR="00A95DD7" w:rsidRPr="0040727A" w:rsidRDefault="00A95DD7" w:rsidP="0040727A">
      <w:pPr>
        <w:tabs>
          <w:tab w:val="left" w:pos="7702"/>
        </w:tabs>
        <w:spacing w:line="240" w:lineRule="exact"/>
      </w:pPr>
      <w:r w:rsidRPr="0040727A">
        <w:tab/>
      </w:r>
    </w:p>
    <w:p w14:paraId="48284F89" w14:textId="1B51AE43" w:rsidR="00436A1F" w:rsidRDefault="00E02624" w:rsidP="003802A9">
      <w:pPr>
        <w:tabs>
          <w:tab w:val="left" w:pos="7702"/>
        </w:tabs>
        <w:spacing w:line="240" w:lineRule="exact"/>
        <w:rPr>
          <w:color w:val="FFFFFF" w:themeColor="background1"/>
        </w:rPr>
        <w:sectPr w:rsidR="00436A1F" w:rsidSect="00493773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  <w:r w:rsidRPr="00436A1F">
        <w:rPr>
          <w:color w:val="FFFFFF" w:themeColor="background1"/>
        </w:rPr>
        <w:t>развития</w:t>
      </w:r>
      <w:r w:rsidRPr="00436A1F">
        <w:rPr>
          <w:color w:val="FFFFFF" w:themeColor="background1"/>
        </w:rPr>
        <w:tab/>
      </w:r>
      <w:r w:rsidRPr="00436A1F">
        <w:rPr>
          <w:color w:val="FFFFFF" w:themeColor="background1"/>
        </w:rPr>
        <w:tab/>
        <w:t>Е.А.Гутник</w:t>
      </w:r>
      <w:r w:rsidR="00606957" w:rsidRPr="00436A1F">
        <w:rPr>
          <w:color w:val="FFFFFF" w:themeColor="background1"/>
        </w:rPr>
        <w:tab/>
      </w:r>
    </w:p>
    <w:p w14:paraId="001EF0F1" w14:textId="77777777" w:rsidR="00436A1F" w:rsidRDefault="00436A1F" w:rsidP="00436A1F">
      <w:pPr>
        <w:widowControl w:val="0"/>
        <w:autoSpaceDE w:val="0"/>
        <w:autoSpaceDN w:val="0"/>
        <w:jc w:val="right"/>
        <w:rPr>
          <w:rFonts w:eastAsia="Times New Roman"/>
          <w:color w:val="000000"/>
          <w:lang w:eastAsia="ru-RU"/>
        </w:rPr>
      </w:pPr>
      <w:r w:rsidRPr="002A20ED">
        <w:rPr>
          <w:rFonts w:eastAsia="Times New Roman"/>
          <w:color w:val="000000"/>
          <w:lang w:eastAsia="ru-RU"/>
        </w:rPr>
        <w:lastRenderedPageBreak/>
        <w:t>Приложение 1</w:t>
      </w:r>
    </w:p>
    <w:p w14:paraId="3E0DF2DE" w14:textId="77777777" w:rsidR="00436A1F" w:rsidRDefault="00436A1F" w:rsidP="00436A1F">
      <w:pPr>
        <w:widowControl w:val="0"/>
        <w:autoSpaceDE w:val="0"/>
        <w:autoSpaceDN w:val="0"/>
        <w:jc w:val="right"/>
        <w:rPr>
          <w:rFonts w:eastAsia="Times New Roman"/>
          <w:color w:val="000000"/>
          <w:lang w:eastAsia="ru-RU"/>
        </w:rPr>
      </w:pPr>
    </w:p>
    <w:p w14:paraId="382AF3A9" w14:textId="77777777" w:rsidR="00436A1F" w:rsidRDefault="00436A1F" w:rsidP="00436A1F">
      <w:pPr>
        <w:widowControl w:val="0"/>
        <w:autoSpaceDE w:val="0"/>
        <w:autoSpaceDN w:val="0"/>
        <w:jc w:val="center"/>
        <w:rPr>
          <w:rFonts w:eastAsia="Times New Roman"/>
          <w:color w:val="000000"/>
          <w:lang w:eastAsia="ru-RU"/>
        </w:rPr>
      </w:pPr>
      <w:r w:rsidRPr="002A20ED">
        <w:rPr>
          <w:rFonts w:eastAsia="Times New Roman"/>
          <w:color w:val="000000"/>
          <w:lang w:eastAsia="ru-RU"/>
        </w:rPr>
        <w:t>СВЕДЕНИЯ</w:t>
      </w:r>
    </w:p>
    <w:p w14:paraId="62D2676B" w14:textId="4FE02A5E" w:rsidR="00436A1F" w:rsidRDefault="00436A1F" w:rsidP="00436A1F">
      <w:pPr>
        <w:jc w:val="center"/>
        <w:rPr>
          <w:rFonts w:eastAsia="Times New Roman"/>
          <w:color w:val="000000"/>
          <w:lang w:eastAsia="ru-RU"/>
        </w:rPr>
      </w:pPr>
      <w:r w:rsidRPr="002A20ED">
        <w:rPr>
          <w:rFonts w:eastAsia="Times New Roman"/>
          <w:color w:val="000000"/>
          <w:lang w:eastAsia="ru-RU"/>
        </w:rPr>
        <w:t>о достижении значений показателей (индика</w:t>
      </w:r>
      <w:r>
        <w:rPr>
          <w:rFonts w:eastAsia="Times New Roman"/>
          <w:color w:val="000000"/>
          <w:lang w:eastAsia="ru-RU"/>
        </w:rPr>
        <w:t xml:space="preserve">торов) муниципальной программы </w:t>
      </w:r>
      <w:r w:rsidR="000211CB">
        <w:rPr>
          <w:rFonts w:eastAsia="Times New Roman"/>
          <w:color w:val="000000"/>
          <w:lang w:eastAsia="ru-RU"/>
        </w:rPr>
        <w:t>«</w:t>
      </w:r>
      <w:r w:rsidRPr="002A20ED">
        <w:rPr>
          <w:rFonts w:eastAsia="Times New Roman"/>
          <w:color w:val="000000"/>
          <w:lang w:eastAsia="ru-RU"/>
        </w:rPr>
        <w:t>Содействие развитию малого и среднего предпринимательства</w:t>
      </w:r>
      <w:r>
        <w:rPr>
          <w:rFonts w:eastAsia="Times New Roman"/>
          <w:color w:val="000000"/>
          <w:lang w:eastAsia="ru-RU"/>
        </w:rPr>
        <w:t xml:space="preserve"> в городе Комсомольске-на-Амуре</w:t>
      </w:r>
      <w:r w:rsidR="000211CB">
        <w:rPr>
          <w:rFonts w:eastAsia="Times New Roman"/>
          <w:color w:val="000000"/>
          <w:lang w:eastAsia="ru-RU"/>
        </w:rPr>
        <w:t>»</w:t>
      </w:r>
    </w:p>
    <w:p w14:paraId="487C1522" w14:textId="5B43A6BF" w:rsidR="00BC1DC2" w:rsidRDefault="00BC1DC2" w:rsidP="00436A1F">
      <w:pPr>
        <w:jc w:val="center"/>
        <w:rPr>
          <w:rFonts w:eastAsia="Times New Roman"/>
          <w:color w:val="00000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88"/>
        <w:gridCol w:w="4817"/>
        <w:gridCol w:w="1202"/>
        <w:gridCol w:w="1078"/>
        <w:gridCol w:w="1132"/>
        <w:gridCol w:w="1135"/>
        <w:gridCol w:w="1285"/>
        <w:gridCol w:w="3223"/>
      </w:tblGrid>
      <w:tr w:rsidR="00B842AA" w:rsidRPr="00B842AA" w14:paraId="50772FED" w14:textId="77777777" w:rsidTr="00B842AA">
        <w:trPr>
          <w:trHeight w:val="465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3D88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2E39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показателя (индикатора)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13CD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11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A12D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Значение показателя (индикатора)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FF02" w14:textId="1542F198" w:rsidR="00BC1DC2" w:rsidRPr="00BC1DC2" w:rsidRDefault="00BC1DC2" w:rsidP="00B842AA">
            <w:pPr>
              <w:spacing w:line="220" w:lineRule="exact"/>
              <w:ind w:left="-113" w:right="-113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Процент выполнения показателя (индикатора)</w:t>
            </w:r>
          </w:p>
        </w:tc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CA65" w14:textId="295A2C5E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Обоснование отклонений значений показателя (индикатора) на конец отчетного года (при наличии) </w:t>
            </w:r>
          </w:p>
        </w:tc>
      </w:tr>
      <w:tr w:rsidR="00B842AA" w:rsidRPr="00B842AA" w14:paraId="67BDF1FB" w14:textId="77777777" w:rsidTr="00B842AA">
        <w:trPr>
          <w:trHeight w:val="465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766986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BAE5A9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097622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EC38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 год (факт)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C92D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89C353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172A48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B842AA" w:rsidRPr="00B842AA" w14:paraId="6B76D950" w14:textId="77777777" w:rsidTr="00B842AA">
        <w:trPr>
          <w:trHeight w:val="915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9249D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E9397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711219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D027DF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40E0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3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80F5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факт</w:t>
            </w: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6F798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454BB9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14:paraId="0364E6BF" w14:textId="77777777" w:rsidR="00BC1DC2" w:rsidRPr="00B842AA" w:rsidRDefault="00BC1DC2" w:rsidP="00B842AA">
      <w:pPr>
        <w:spacing w:line="20" w:lineRule="exact"/>
        <w:rPr>
          <w:sz w:val="2"/>
          <w:szCs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89"/>
        <w:gridCol w:w="4834"/>
        <w:gridCol w:w="1197"/>
        <w:gridCol w:w="1069"/>
        <w:gridCol w:w="1136"/>
        <w:gridCol w:w="1136"/>
        <w:gridCol w:w="1275"/>
        <w:gridCol w:w="3224"/>
      </w:tblGrid>
      <w:tr w:rsidR="00B842AA" w:rsidRPr="00B842AA" w14:paraId="50B62B93" w14:textId="77777777" w:rsidTr="00B842AA">
        <w:trPr>
          <w:trHeight w:val="315"/>
          <w:tblHeader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BB7D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73C4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F960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A32F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E43D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F1C6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E4D8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D083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</w:tr>
      <w:tr w:rsidR="00BC1DC2" w:rsidRPr="00BC1DC2" w14:paraId="13917EE7" w14:textId="77777777" w:rsidTr="00B842AA">
        <w:trPr>
          <w:trHeight w:val="31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80B0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FDB6C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Основные показатели (индикаторы):</w:t>
            </w:r>
          </w:p>
        </w:tc>
      </w:tr>
      <w:tr w:rsidR="00B842AA" w:rsidRPr="00B842AA" w14:paraId="70157E4A" w14:textId="77777777" w:rsidTr="00B842AA">
        <w:trPr>
          <w:trHeight w:val="63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0E07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FF87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Число субъектов малого и среднего предпринимательства (далее – МСП) в расчете на 10 тыс. человек населения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C7D7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6F3A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285,8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E209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293,5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1E33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294,7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8DCD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100,409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D44E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842AA" w:rsidRPr="00B842AA" w14:paraId="627C34F2" w14:textId="77777777" w:rsidTr="00B842AA">
        <w:trPr>
          <w:trHeight w:val="233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C171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B689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Количество субъектов МСП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7F3B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F5FE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6742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D8FC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6893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E880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6923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761A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100,435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AA2C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842AA" w:rsidRPr="00B842AA" w14:paraId="30BDC5B5" w14:textId="77777777" w:rsidTr="00B842AA">
        <w:trPr>
          <w:trHeight w:val="1613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1562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38E8" w14:textId="42E59651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Коэффициент </w:t>
            </w:r>
            <w:r w:rsidR="000211C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рождаемости</w:t>
            </w:r>
            <w:r w:rsidR="000211C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субъектов МСП (количество созданных в отчетном периоде малых и средних предприятий (включая индивидуальных предпринимателей) в расчете на 1 тыс. действующих на дату окончания отчетного периода малых и средних предприятий (включая индивидуальных предпринимателей)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C9C4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217F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144,3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CEF1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144,5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CA2A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164,1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AC8F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113,564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DB2B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842AA" w:rsidRPr="00B842AA" w14:paraId="6945D09A" w14:textId="77777777" w:rsidTr="00B842AA"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765C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9DCF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Численность занятых в сфере МСП, включая индивидуальных предпринимателей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E7BE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тыс. человек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19D3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21,4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772B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21,5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52FD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6762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95,349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612A3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Сокращение числа наемных работников у юридических лиц, использование услуг самозанятых граждан</w:t>
            </w:r>
          </w:p>
        </w:tc>
      </w:tr>
      <w:tr w:rsidR="00B842AA" w:rsidRPr="00B842AA" w14:paraId="1648EDAA" w14:textId="77777777" w:rsidTr="00B842AA">
        <w:trPr>
          <w:trHeight w:val="94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9889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8B86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Оборот продукции и услуг, производимых малыми и средними предприятиями города, в том числе микропредприятиями, и индивидуальными предпринимателями, в действующих ценах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5FA8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млн. рублей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90E9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78852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3588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92210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51B0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92653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9805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100,480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AB71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842AA" w:rsidRPr="00B842AA" w14:paraId="4B9BBFD0" w14:textId="77777777" w:rsidTr="00B842AA">
        <w:trPr>
          <w:trHeight w:val="1087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3D8C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CC78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Доля индивидуальных предпринимателей, применяющих патентную систему налогообложения, в общем количестве индивидуальных предпринимателей, зарегистрированных в муниципальном образовании, являющихся субъектами МСП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02AB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2340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32E1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29,3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B97B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720F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101,706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8323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842AA" w:rsidRPr="00B842AA" w14:paraId="1ED683F6" w14:textId="77777777" w:rsidTr="00B842AA">
        <w:trPr>
          <w:trHeight w:val="94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7032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FBA3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Количество СМСП и физических лиц, применяющих специальный налоговый режим - получателей поддержки (нарастающим итогом)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9560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52B4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7A29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1436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6EA1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1534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FA85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106,825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869A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C1DC2" w:rsidRPr="00BC1DC2" w14:paraId="53F2AE0C" w14:textId="77777777" w:rsidTr="00B842AA">
        <w:trPr>
          <w:trHeight w:val="63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28D2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7B976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Предоставление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B842AA" w:rsidRPr="00B842AA" w14:paraId="3E16D68E" w14:textId="77777777" w:rsidTr="00B842AA">
        <w:trPr>
          <w:trHeight w:val="313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D575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8ADD8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Доля сданных в аренду СМСП и организациям, образующим инфраструктуру поддержки СМСП, объектов недвижимого имущества, включенных в Перечень имущества города Комсомольск-на-Амуре,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используемого в целях предоставления во временное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DDC2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2E58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80,7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ED97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8B00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7457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105,000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F250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C1DC2" w:rsidRPr="00BC1DC2" w14:paraId="5EDF02B6" w14:textId="77777777" w:rsidTr="00B842AA">
        <w:trPr>
          <w:trHeight w:val="31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EA38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4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317A5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</w:tr>
      <w:tr w:rsidR="00B842AA" w:rsidRPr="00B842AA" w14:paraId="085AFA2A" w14:textId="77777777" w:rsidTr="005A7830">
        <w:trPr>
          <w:trHeight w:val="52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DDEE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9B6D3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Количество СМСП – получателей поддержки, нарастающим итогом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7B70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8022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695A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562BB" w14:textId="77777777" w:rsidR="00BC1DC2" w:rsidRPr="00BC1DC2" w:rsidRDefault="00BC1DC2" w:rsidP="005A7830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9340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C6A2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842AA" w:rsidRPr="00B842AA" w14:paraId="223C2BFF" w14:textId="77777777" w:rsidTr="00B842AA">
        <w:trPr>
          <w:trHeight w:val="52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D169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D6CCF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Количество сохраненных рабочих мест СМСП – получателями поддержки, нарастающим итогом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F581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0119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057F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B97E" w14:textId="1FEC5BBC" w:rsidR="00BC1DC2" w:rsidRPr="00BC1DC2" w:rsidRDefault="005A7830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073E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A1B9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842AA" w:rsidRPr="00BC1DC2" w14:paraId="7876CFDE" w14:textId="77777777" w:rsidTr="00B842AA">
        <w:trPr>
          <w:trHeight w:val="31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9DCA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32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4B83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Информационная и консультационная поддержка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C79F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C8F3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842AA" w:rsidRPr="00B842AA" w14:paraId="6F2C86EA" w14:textId="77777777" w:rsidTr="00B842AA">
        <w:trPr>
          <w:trHeight w:val="165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5D55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4.1.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625BA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Количество СМСП и физических лиц, применяющих специальный налоговый режим - получателей информационной и консультационной поддержки, нарастающим итогом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0B9D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7078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B9970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1 381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A4278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1 344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B4D4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97,321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34E9" w14:textId="72AA1BC9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 2024 году Фонд развития г. </w:t>
            </w:r>
            <w:r w:rsidR="00B842AA"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Комсомольска</w:t>
            </w: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-на-Амуре сменил фактический адрес нахождения, что привело к сокращению числа обращений субъектов МСП в Фонд. Кроме того, в течение 2024 года в Фонд был </w:t>
            </w:r>
            <w:proofErr w:type="spellStart"/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недоукомплектован</w:t>
            </w:r>
            <w:proofErr w:type="spellEnd"/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штатными единицами. </w:t>
            </w:r>
          </w:p>
        </w:tc>
      </w:tr>
      <w:tr w:rsidR="00B842AA" w:rsidRPr="00B842AA" w14:paraId="06C3BE17" w14:textId="77777777" w:rsidTr="00B842AA">
        <w:trPr>
          <w:trHeight w:val="184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A8A9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4.2.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135E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Доля закупок, осуществленных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в соответствии с Федеральным законом от 05 апреля 2013 г. № 44-ФЗ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ACAEC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AE68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50,8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A8A1F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1A5E5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2BD8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153,333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B54A" w14:textId="08508989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 </w:t>
            </w:r>
            <w:r w:rsidR="00B842AA"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соответствии</w:t>
            </w: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 установленными нормами законодательства в сфере закупок, общий объем закупок у субъектов малого и среднего предпринимательства, социально ориентированных некоммерческих организаций определяется по итогам года и составляет 46 %</w:t>
            </w:r>
          </w:p>
        </w:tc>
      </w:tr>
      <w:tr w:rsidR="00BC1DC2" w:rsidRPr="00BC1DC2" w14:paraId="2282EDAC" w14:textId="77777777" w:rsidTr="00B842AA">
        <w:trPr>
          <w:trHeight w:val="31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228B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4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9EC16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Пропаганда (популяризация) предпринимательской деятельности и поддержка индивидуальной предпринимательской инициативы</w:t>
            </w:r>
          </w:p>
        </w:tc>
      </w:tr>
      <w:tr w:rsidR="00B842AA" w:rsidRPr="00B842AA" w14:paraId="674D1C29" w14:textId="77777777" w:rsidTr="00B842AA">
        <w:trPr>
          <w:trHeight w:val="129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A59F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5.1.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278D6" w14:textId="588EC02B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Количество опубликованных (размещенных) публикаций, видеосюжетов о развитии предпринимательства и о мерах поддержки, направленных на развитие предпринимательства, в т.ч. </w:t>
            </w:r>
            <w:r w:rsidR="000211C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«</w:t>
            </w: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Историй успеха</w:t>
            </w:r>
            <w:r w:rsidR="000211C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предпринимателей города, получивших поддержку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28CCC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4CE5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2BE7D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29E52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133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929E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102,308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A7A4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842AA" w:rsidRPr="00B842AA" w14:paraId="2E669E7E" w14:textId="77777777" w:rsidTr="00B842AA">
        <w:trPr>
          <w:trHeight w:val="78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4C28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5.2.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C464A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Количество проведенных заседаний Совета по развитию предпринимательства и улучшению инвестиционного климата при главе города Комсомольска-на-Амуре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161B8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ABB5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E0CC2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C2553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B97F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F687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842AA" w:rsidRPr="00B842AA" w14:paraId="40E20E41" w14:textId="77777777" w:rsidTr="00B842AA">
        <w:trPr>
          <w:trHeight w:val="780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0E95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5.3.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B368E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Количество проведенных мероприятий, направленных на привлечение молодежи в предпринимательскую деятельность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8C9E9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F82A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B3B4D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EBCDB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0D20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703A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BC1DC2" w:rsidRPr="00BC1DC2" w14:paraId="24FEB14E" w14:textId="77777777" w:rsidTr="00B842AA">
        <w:trPr>
          <w:trHeight w:val="31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9B65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47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B4BFC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Развитие социального предпринимательства</w:t>
            </w:r>
          </w:p>
        </w:tc>
      </w:tr>
      <w:tr w:rsidR="00B842AA" w:rsidRPr="00B842AA" w14:paraId="12AC702B" w14:textId="77777777" w:rsidTr="00B842AA">
        <w:trPr>
          <w:trHeight w:val="31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BDFF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6.1.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D679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Количество социальных предприятий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BCF2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535B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6975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651A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7EBE" w14:textId="77777777" w:rsidR="00BC1DC2" w:rsidRPr="00BC1DC2" w:rsidRDefault="00BC1DC2" w:rsidP="00B842AA">
            <w:pPr>
              <w:spacing w:line="220" w:lineRule="exac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100,000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393C" w14:textId="77777777" w:rsidR="00BC1DC2" w:rsidRPr="00BC1DC2" w:rsidRDefault="00BC1DC2" w:rsidP="00B842AA">
            <w:pPr>
              <w:spacing w:line="220" w:lineRule="exac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BC1DC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14:paraId="17CE576C" w14:textId="77777777" w:rsidR="001F4202" w:rsidRPr="001F4202" w:rsidRDefault="001F4202">
      <w:pPr>
        <w:rPr>
          <w:sz w:val="2"/>
          <w:szCs w:val="2"/>
        </w:rPr>
      </w:pPr>
    </w:p>
    <w:p w14:paraId="26A95B2D" w14:textId="77777777" w:rsidR="00436A1F" w:rsidRPr="00095468" w:rsidRDefault="00436A1F" w:rsidP="00436A1F">
      <w:pPr>
        <w:rPr>
          <w:sz w:val="2"/>
          <w:szCs w:val="2"/>
        </w:rPr>
      </w:pPr>
    </w:p>
    <w:p w14:paraId="3FE64311" w14:textId="77777777" w:rsidR="00436A1F" w:rsidRDefault="00436A1F" w:rsidP="00436A1F">
      <w:pPr>
        <w:spacing w:after="200" w:line="276" w:lineRule="auto"/>
        <w:jc w:val="center"/>
        <w:rPr>
          <w:sz w:val="24"/>
          <w:szCs w:val="24"/>
        </w:rPr>
        <w:sectPr w:rsidR="00436A1F" w:rsidSect="005F5268">
          <w:pgSz w:w="16838" w:h="11906" w:orient="landscape"/>
          <w:pgMar w:top="1985" w:right="1134" w:bottom="680" w:left="1134" w:header="709" w:footer="709" w:gutter="0"/>
          <w:cols w:space="708"/>
          <w:titlePg/>
          <w:docGrid w:linePitch="360"/>
        </w:sectPr>
      </w:pPr>
      <w:r w:rsidRPr="00095468">
        <w:rPr>
          <w:sz w:val="24"/>
          <w:szCs w:val="24"/>
        </w:rPr>
        <w:t>_________________</w:t>
      </w:r>
    </w:p>
    <w:p w14:paraId="7D572EF0" w14:textId="77777777" w:rsidR="00436A1F" w:rsidRPr="00AF0BC8" w:rsidRDefault="00436A1F" w:rsidP="00436A1F">
      <w:pPr>
        <w:widowControl w:val="0"/>
        <w:autoSpaceDE w:val="0"/>
        <w:autoSpaceDN w:val="0"/>
        <w:jc w:val="right"/>
        <w:rPr>
          <w:rFonts w:eastAsia="Times New Roman"/>
          <w:lang w:eastAsia="ru-RU"/>
        </w:rPr>
      </w:pPr>
      <w:r w:rsidRPr="00F976B1">
        <w:rPr>
          <w:rFonts w:eastAsia="Times New Roman"/>
          <w:sz w:val="24"/>
          <w:szCs w:val="24"/>
          <w:lang w:eastAsia="ru-RU"/>
        </w:rPr>
        <w:lastRenderedPageBreak/>
        <w:tab/>
      </w:r>
      <w:r w:rsidRPr="00F976B1">
        <w:rPr>
          <w:rFonts w:eastAsia="Times New Roman"/>
          <w:sz w:val="24"/>
          <w:szCs w:val="24"/>
          <w:lang w:eastAsia="ru-RU"/>
        </w:rPr>
        <w:tab/>
      </w:r>
      <w:r w:rsidRPr="00F976B1">
        <w:rPr>
          <w:rFonts w:eastAsia="Times New Roman"/>
          <w:sz w:val="24"/>
          <w:szCs w:val="24"/>
          <w:lang w:eastAsia="ru-RU"/>
        </w:rPr>
        <w:tab/>
      </w:r>
      <w:r w:rsidRPr="00F976B1">
        <w:rPr>
          <w:rFonts w:eastAsia="Times New Roman"/>
          <w:sz w:val="24"/>
          <w:szCs w:val="24"/>
          <w:lang w:eastAsia="ru-RU"/>
        </w:rPr>
        <w:tab/>
      </w:r>
      <w:r w:rsidRPr="00F976B1">
        <w:rPr>
          <w:rFonts w:eastAsia="Times New Roman"/>
          <w:sz w:val="24"/>
          <w:szCs w:val="24"/>
          <w:lang w:eastAsia="ru-RU"/>
        </w:rPr>
        <w:tab/>
      </w:r>
      <w:r w:rsidRPr="00F976B1">
        <w:rPr>
          <w:rFonts w:eastAsia="Times New Roman"/>
          <w:sz w:val="24"/>
          <w:szCs w:val="24"/>
          <w:lang w:eastAsia="ru-RU"/>
        </w:rPr>
        <w:tab/>
      </w:r>
      <w:r w:rsidRPr="00F976B1">
        <w:rPr>
          <w:rFonts w:eastAsia="Times New Roman"/>
          <w:sz w:val="24"/>
          <w:szCs w:val="24"/>
          <w:lang w:eastAsia="ru-RU"/>
        </w:rPr>
        <w:tab/>
      </w:r>
      <w:r w:rsidRPr="00AF0BC8">
        <w:rPr>
          <w:rFonts w:eastAsia="Times New Roman"/>
          <w:lang w:eastAsia="ru-RU"/>
        </w:rPr>
        <w:t>Приложение 2</w:t>
      </w:r>
    </w:p>
    <w:p w14:paraId="14B0B0C4" w14:textId="77777777" w:rsidR="00436A1F" w:rsidRPr="00AF0BC8" w:rsidRDefault="00436A1F" w:rsidP="00436A1F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AF0BC8">
        <w:rPr>
          <w:rFonts w:eastAsia="Times New Roman"/>
          <w:lang w:eastAsia="ru-RU"/>
        </w:rPr>
        <w:t>СВЕДЕНИЯ</w:t>
      </w:r>
    </w:p>
    <w:p w14:paraId="597A012E" w14:textId="77777777" w:rsidR="00436A1F" w:rsidRPr="00AF0BC8" w:rsidRDefault="00436A1F" w:rsidP="00436A1F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 w:rsidRPr="00AF0BC8">
        <w:rPr>
          <w:rFonts w:eastAsia="Times New Roman"/>
          <w:lang w:eastAsia="ru-RU"/>
        </w:rPr>
        <w:t xml:space="preserve">о степени выполнения муниципальной программы </w:t>
      </w:r>
    </w:p>
    <w:p w14:paraId="388C2178" w14:textId="6FD91D6B" w:rsidR="00436A1F" w:rsidRDefault="000211CB" w:rsidP="00436A1F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="00436A1F" w:rsidRPr="00AF0BC8">
        <w:rPr>
          <w:rFonts w:eastAsia="Times New Roman"/>
          <w:lang w:eastAsia="ru-RU"/>
        </w:rPr>
        <w:t>Содействие развитию малого и среднего предпринимательства в городе Комсомольске-на-Амуре</w:t>
      </w:r>
      <w:r>
        <w:rPr>
          <w:rFonts w:eastAsia="Times New Roman"/>
          <w:lang w:eastAsia="ru-RU"/>
        </w:rPr>
        <w:t>»</w:t>
      </w:r>
    </w:p>
    <w:p w14:paraId="56CF8B1B" w14:textId="73186000" w:rsidR="0095194C" w:rsidRDefault="0095194C" w:rsidP="00436A1F">
      <w:pPr>
        <w:widowControl w:val="0"/>
        <w:autoSpaceDE w:val="0"/>
        <w:autoSpaceDN w:val="0"/>
        <w:jc w:val="center"/>
        <w:rPr>
          <w:rFonts w:eastAsia="Times New Roman"/>
          <w:lang w:eastAsia="ru-RU"/>
        </w:rPr>
      </w:pPr>
    </w:p>
    <w:tbl>
      <w:tblPr>
        <w:tblW w:w="5110" w:type="pct"/>
        <w:tblLayout w:type="fixed"/>
        <w:tblLook w:val="04A0" w:firstRow="1" w:lastRow="0" w:firstColumn="1" w:lastColumn="0" w:noHBand="0" w:noVBand="1"/>
      </w:tblPr>
      <w:tblGrid>
        <w:gridCol w:w="487"/>
        <w:gridCol w:w="2770"/>
        <w:gridCol w:w="1134"/>
        <w:gridCol w:w="2125"/>
        <w:gridCol w:w="3119"/>
        <w:gridCol w:w="1560"/>
        <w:gridCol w:w="1841"/>
        <w:gridCol w:w="1844"/>
      </w:tblGrid>
      <w:tr w:rsidR="0095194C" w:rsidRPr="0095194C" w14:paraId="3026352D" w14:textId="77777777" w:rsidTr="000211CB">
        <w:trPr>
          <w:trHeight w:val="2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B2B1" w14:textId="77777777" w:rsidR="0095194C" w:rsidRPr="0095194C" w:rsidRDefault="0095194C" w:rsidP="0095194C">
            <w:pPr>
              <w:spacing w:before="60" w:after="60" w:line="200" w:lineRule="exact"/>
              <w:jc w:val="center"/>
              <w:rPr>
                <w:rFonts w:eastAsia="Times New Roman"/>
                <w:color w:val="2D2D2D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2D2D2D"/>
                <w:spacing w:val="-4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33B9" w14:textId="77777777" w:rsidR="0095194C" w:rsidRPr="0095194C" w:rsidRDefault="0095194C" w:rsidP="0095194C">
            <w:pPr>
              <w:spacing w:before="60" w:after="60" w:line="200" w:lineRule="exact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Наименование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3121" w14:textId="77777777" w:rsidR="0095194C" w:rsidRPr="0095194C" w:rsidRDefault="0095194C" w:rsidP="0095194C">
            <w:pPr>
              <w:spacing w:before="60" w:after="60" w:line="200" w:lineRule="exact"/>
              <w:jc w:val="center"/>
              <w:rPr>
                <w:rFonts w:eastAsia="Times New Roman"/>
                <w:color w:val="2D2D2D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2D2D2D"/>
                <w:spacing w:val="-4"/>
                <w:sz w:val="22"/>
                <w:szCs w:val="22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6847" w14:textId="77777777" w:rsidR="0095194C" w:rsidRPr="0095194C" w:rsidRDefault="0095194C" w:rsidP="0095194C">
            <w:pPr>
              <w:spacing w:before="60" w:after="60" w:line="200" w:lineRule="exact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Результат реализации основного мероприятия,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227E" w14:textId="77777777" w:rsidR="0095194C" w:rsidRPr="0095194C" w:rsidRDefault="0095194C" w:rsidP="0095194C">
            <w:pPr>
              <w:spacing w:before="60" w:after="60" w:line="200" w:lineRule="exact"/>
              <w:ind w:left="-113" w:right="-113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Степень реализации основного мероприятия, мероприятия (выполнено в полном объеме / выполнено частично / не выполнено)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1D2D" w14:textId="77777777" w:rsidR="0095194C" w:rsidRPr="0095194C" w:rsidRDefault="0095194C" w:rsidP="0095194C">
            <w:pPr>
              <w:spacing w:before="60" w:after="60" w:line="200" w:lineRule="exact"/>
              <w:ind w:left="-113" w:right="-113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Причины невыполнения или выполнения не в полном объеме мероприятия / Проблемы, возникшие в ходе реализации мероприятия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4CA5" w14:textId="77777777" w:rsidR="0095194C" w:rsidRPr="0095194C" w:rsidRDefault="0095194C" w:rsidP="0095194C">
            <w:pPr>
              <w:spacing w:before="60" w:after="60" w:line="200" w:lineRule="exact"/>
              <w:ind w:left="-113" w:right="-113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Меры, 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br/>
              <w:t>направленные на нейтрализацию/снижение негативных последствий выполнения мероприятия не в полном объеме/невыполнение мероприятия</w:t>
            </w:r>
          </w:p>
        </w:tc>
      </w:tr>
      <w:tr w:rsidR="0095194C" w:rsidRPr="0095194C" w14:paraId="5E8BEB8F" w14:textId="77777777" w:rsidTr="000211CB">
        <w:trPr>
          <w:trHeight w:val="2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D2D404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2D2D2D"/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1C8108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8EF91B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2D2D2D"/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5B8C" w14:textId="77777777" w:rsidR="0095194C" w:rsidRPr="0095194C" w:rsidRDefault="0095194C" w:rsidP="0095194C">
            <w:pPr>
              <w:spacing w:before="60" w:after="60" w:line="200" w:lineRule="exact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запланированные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E26D" w14:textId="77777777" w:rsidR="0095194C" w:rsidRPr="0095194C" w:rsidRDefault="0095194C" w:rsidP="0095194C">
            <w:pPr>
              <w:spacing w:before="60" w:after="60" w:line="200" w:lineRule="exact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достигнутые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1E3DE6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397347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0832A7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</w:p>
        </w:tc>
      </w:tr>
    </w:tbl>
    <w:p w14:paraId="3B8F2E30" w14:textId="77777777" w:rsidR="000211CB" w:rsidRPr="000211CB" w:rsidRDefault="000211CB">
      <w:pPr>
        <w:rPr>
          <w:sz w:val="2"/>
          <w:szCs w:val="2"/>
        </w:rPr>
      </w:pPr>
    </w:p>
    <w:tbl>
      <w:tblPr>
        <w:tblW w:w="5110" w:type="pct"/>
        <w:tblLayout w:type="fixed"/>
        <w:tblLook w:val="04A0" w:firstRow="1" w:lastRow="0" w:firstColumn="1" w:lastColumn="0" w:noHBand="0" w:noVBand="1"/>
      </w:tblPr>
      <w:tblGrid>
        <w:gridCol w:w="487"/>
        <w:gridCol w:w="2770"/>
        <w:gridCol w:w="1134"/>
        <w:gridCol w:w="2125"/>
        <w:gridCol w:w="3119"/>
        <w:gridCol w:w="1560"/>
        <w:gridCol w:w="1841"/>
        <w:gridCol w:w="1844"/>
      </w:tblGrid>
      <w:tr w:rsidR="0095194C" w:rsidRPr="0095194C" w14:paraId="34A008B7" w14:textId="77777777" w:rsidTr="000211CB">
        <w:trPr>
          <w:trHeight w:val="213"/>
          <w:tblHeader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C450" w14:textId="77777777" w:rsidR="0095194C" w:rsidRPr="0095194C" w:rsidRDefault="0095194C" w:rsidP="00A8482B">
            <w:pPr>
              <w:spacing w:before="60" w:after="60" w:line="200" w:lineRule="exact"/>
              <w:ind w:left="-57" w:right="-57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F219" w14:textId="77777777" w:rsidR="0095194C" w:rsidRPr="0095194C" w:rsidRDefault="0095194C" w:rsidP="0095194C">
            <w:pPr>
              <w:spacing w:before="60" w:after="60" w:line="200" w:lineRule="exact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9C67" w14:textId="77777777" w:rsidR="0095194C" w:rsidRPr="0095194C" w:rsidRDefault="0095194C" w:rsidP="0095194C">
            <w:pPr>
              <w:spacing w:before="60" w:after="60" w:line="200" w:lineRule="exact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BD83" w14:textId="77777777" w:rsidR="0095194C" w:rsidRPr="0095194C" w:rsidRDefault="0095194C" w:rsidP="0095194C">
            <w:pPr>
              <w:spacing w:before="60" w:after="60" w:line="200" w:lineRule="exact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16DF" w14:textId="77777777" w:rsidR="0095194C" w:rsidRPr="0095194C" w:rsidRDefault="0095194C" w:rsidP="0095194C">
            <w:pPr>
              <w:spacing w:before="60" w:after="60" w:line="200" w:lineRule="exact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190B" w14:textId="77777777" w:rsidR="0095194C" w:rsidRPr="0095194C" w:rsidRDefault="0095194C" w:rsidP="0095194C">
            <w:pPr>
              <w:spacing w:before="60" w:after="60" w:line="200" w:lineRule="exact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7F08" w14:textId="77777777" w:rsidR="0095194C" w:rsidRPr="0095194C" w:rsidRDefault="0095194C" w:rsidP="0095194C">
            <w:pPr>
              <w:spacing w:before="60" w:after="60" w:line="200" w:lineRule="exact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2D0D" w14:textId="77777777" w:rsidR="0095194C" w:rsidRPr="0095194C" w:rsidRDefault="0095194C" w:rsidP="0095194C">
            <w:pPr>
              <w:spacing w:before="60" w:after="60" w:line="200" w:lineRule="exact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8</w:t>
            </w:r>
          </w:p>
        </w:tc>
      </w:tr>
      <w:tr w:rsidR="0095194C" w:rsidRPr="0095194C" w14:paraId="3A91D959" w14:textId="77777777" w:rsidTr="0095194C">
        <w:trPr>
          <w:trHeight w:val="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28C6" w14:textId="77777777" w:rsidR="0095194C" w:rsidRPr="0095194C" w:rsidRDefault="0095194C" w:rsidP="00A8482B">
            <w:pPr>
              <w:spacing w:before="60" w:after="60" w:line="200" w:lineRule="exact"/>
              <w:ind w:left="-57" w:right="-57"/>
              <w:jc w:val="center"/>
              <w:rPr>
                <w:rFonts w:eastAsia="Times New Roman"/>
                <w:i/>
                <w:iCs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i/>
                <w:iCs/>
                <w:color w:val="000000"/>
                <w:spacing w:val="-4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43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1B07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Предоставление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95194C" w:rsidRPr="0095194C" w14:paraId="313DF206" w14:textId="77777777" w:rsidTr="000211CB">
        <w:trPr>
          <w:trHeight w:val="699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0433" w14:textId="77777777" w:rsidR="0095194C" w:rsidRPr="0095194C" w:rsidRDefault="0095194C" w:rsidP="00A8482B">
            <w:pPr>
              <w:spacing w:before="60" w:after="60" w:line="200" w:lineRule="exact"/>
              <w:ind w:left="-57" w:right="-57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9DC56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Ведение и пополнение Перечня имущества города Комсомольска-на-Амуре,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используемого в целях предоставления во временное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lastRenderedPageBreak/>
              <w:t>предпринимательства (далее – Перечень)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B7D8" w14:textId="77777777" w:rsidR="0095194C" w:rsidRPr="0095194C" w:rsidRDefault="0095194C" w:rsidP="0095194C">
            <w:pPr>
              <w:spacing w:before="60" w:after="60" w:line="200" w:lineRule="exact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lastRenderedPageBreak/>
              <w:t>КУИ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7A2D4" w14:textId="49C3F17C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Формирование Перечня, выявление в реестрах муниципального имущества объектов, пригодных для включения в Перечень (в том числе неиспользуемых объектов или используемых неэффективно)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4BD4" w14:textId="4418F371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Перечень муниципального имущества, используемого в целях предоставления во временное владение и (или) в пользование СМиСП и организациям, образующим инфраструктуру поддержки СМиСП (далее –Перечень), утвержден постановлением администрации города от 30.12.2008 № 188-па (в редакции от 31.10.2024  г. № 2490-па)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br/>
              <w:t xml:space="preserve">Дополненный Перечень, утвержденный постановлением администрации города от 30.12.2008 № 188-па (в редакции от 31.10.2024  г. №2490-па) размещен : https://invest.kmscity.ru/infrastructure/mun-property/. По состоянию на </w:t>
            </w:r>
            <w:r w:rsidR="000211CB"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31.12.2024 </w:t>
            </w:r>
            <w:r w:rsidR="000211CB"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lastRenderedPageBreak/>
              <w:t>количество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 объектов, включенных в Перечень, увеличилось на 13 объектов.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A8F4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lastRenderedPageBreak/>
              <w:t>выполнено в полном объеме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878A" w14:textId="77777777" w:rsidR="0095194C" w:rsidRPr="0095194C" w:rsidRDefault="0095194C" w:rsidP="0095194C">
            <w:pPr>
              <w:spacing w:before="60" w:after="60" w:line="200" w:lineRule="exact"/>
              <w:ind w:left="-57" w:right="-57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Проблемы: увеличение количества объектов, включенных в Перечень, отрицательно отражается на доходах местного бюджета от аренды, поскольку влечет снижение на 5 % размера арендной платы за использование объектов, включенных в перечень, а также препятствует передаче  данных объектов более широкому кругу 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lastRenderedPageBreak/>
              <w:t>пользователей, в том числе  не относящихся  к категории МСП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7D04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lastRenderedPageBreak/>
              <w:t> </w:t>
            </w:r>
          </w:p>
        </w:tc>
      </w:tr>
      <w:tr w:rsidR="0095194C" w:rsidRPr="0095194C" w14:paraId="7F8336BC" w14:textId="77777777" w:rsidTr="0095194C">
        <w:trPr>
          <w:trHeight w:val="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956A" w14:textId="77777777" w:rsidR="0095194C" w:rsidRPr="0095194C" w:rsidRDefault="0095194C" w:rsidP="00A8482B">
            <w:pPr>
              <w:spacing w:before="60" w:after="60" w:line="200" w:lineRule="exact"/>
              <w:ind w:left="-57" w:right="-57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2D70D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Предоставление в аренду муниципального имущества из Перечня, в том числе в применением льготной ставки арендной 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FBDD" w14:textId="77777777" w:rsidR="0095194C" w:rsidRPr="0095194C" w:rsidRDefault="0095194C" w:rsidP="0095194C">
            <w:pPr>
              <w:spacing w:before="60" w:after="60" w:line="200" w:lineRule="exact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КУИ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B4DEF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Содействие СМСП в обеспечении их производственными и офисными помещениями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9C562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По состоянию на 31.12.2024 доля предоставленных субъектам МСП объектов муниципального имущества, включенного в Перечень, составляет 84% (Из 210 объектов, включенных в Перечень, используется СМиСП 176 объектов.)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084E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выполнено в полном объеме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9206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3A30E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 </w:t>
            </w:r>
          </w:p>
        </w:tc>
      </w:tr>
      <w:tr w:rsidR="0095194C" w:rsidRPr="0095194C" w14:paraId="14DEC79F" w14:textId="77777777" w:rsidTr="0095194C">
        <w:trPr>
          <w:trHeight w:val="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C4A7" w14:textId="77777777" w:rsidR="0095194C" w:rsidRPr="0095194C" w:rsidRDefault="0095194C" w:rsidP="00A8482B">
            <w:pPr>
              <w:spacing w:before="60" w:after="60" w:line="200" w:lineRule="exact"/>
              <w:ind w:left="-57" w:right="-57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2.3.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2C55" w14:textId="06642E02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Предоставление преимущественного права на приобретение арендуемого имущества в соответствии с Федеральным законом от 22.07.2008 №159-ФЗ </w:t>
            </w:r>
            <w:r w:rsidR="000211CB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«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Об особенностях отчуждения недвижимого имущества, находящегося в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  <w:r w:rsidR="000211CB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A7C6" w14:textId="77777777" w:rsidR="0095194C" w:rsidRPr="0095194C" w:rsidRDefault="0095194C" w:rsidP="0095194C">
            <w:pPr>
              <w:spacing w:before="60" w:after="60" w:line="200" w:lineRule="exact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КУИ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2A2D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Содействие СМСП в обеспечении их производственными и офисными помещениями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4D29E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За 2024 год  в порядке, определённом законом  № 159-ФЗ, заключено 7 договоров купли-продажи арендуемого субъектами малого и среднего предпринимательства имущества на общую сумму 53957,71  тыс. руб., из них 1 договор на сумму     1 135 тыс. руб. оплачен единовременным платежом, остальные  договоры заключены с рассрочкой платежа на 5 лет.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0E22D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выполнено в полном объеме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859B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5A0F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 </w:t>
            </w:r>
          </w:p>
        </w:tc>
      </w:tr>
      <w:tr w:rsidR="0095194C" w:rsidRPr="0095194C" w14:paraId="31BBAA1C" w14:textId="77777777" w:rsidTr="0095194C">
        <w:trPr>
          <w:trHeight w:val="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CDE4" w14:textId="77777777" w:rsidR="0095194C" w:rsidRPr="0095194C" w:rsidRDefault="0095194C" w:rsidP="00A8482B">
            <w:pPr>
              <w:spacing w:before="60" w:after="60" w:line="200" w:lineRule="exact"/>
              <w:ind w:left="-57" w:right="-57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43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38755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</w:tr>
      <w:tr w:rsidR="0095194C" w:rsidRPr="0095194C" w14:paraId="4DE0F957" w14:textId="77777777" w:rsidTr="0095194C">
        <w:trPr>
          <w:trHeight w:val="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D309" w14:textId="77777777" w:rsidR="0095194C" w:rsidRPr="0095194C" w:rsidRDefault="0095194C" w:rsidP="00A8482B">
            <w:pPr>
              <w:spacing w:before="60" w:after="60" w:line="200" w:lineRule="exact"/>
              <w:ind w:left="-57" w:right="-57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1B218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Компенсация затрат, связанных с производством (реализацией) товаров, выполнением работ, оказанием услуг субъектам малого и среднего 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lastRenderedPageBreak/>
              <w:t>предпринимательства города Комсомольска-на-Амуре, осуществляющим приоритетные виды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A3AE7" w14:textId="77777777" w:rsidR="0095194C" w:rsidRPr="0095194C" w:rsidRDefault="0095194C" w:rsidP="0095194C">
            <w:pPr>
              <w:spacing w:before="60" w:after="60" w:line="200" w:lineRule="exact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lastRenderedPageBreak/>
              <w:t>ДЭР, АГ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973E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Встраивание СМСП с систему кластерной кооперации, создание новых рабочих мест, 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lastRenderedPageBreak/>
              <w:t>предоставление субсидии на конкурсной основе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111E0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lastRenderedPageBreak/>
              <w:t xml:space="preserve">Проведен конкурсный отбор, по результатам которого финансовая поддержка в виде предоставления субсидии 10 субъектам малого и среднего предпринимательства, на 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lastRenderedPageBreak/>
              <w:t>общую сумму 1509,92 тыс. руб., в 2024 году получателями субсидии сохранено 92 рабочих места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64A9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lastRenderedPageBreak/>
              <w:t>выполнено в полном объеме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A0A3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2D5D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 </w:t>
            </w:r>
          </w:p>
        </w:tc>
      </w:tr>
      <w:tr w:rsidR="0095194C" w:rsidRPr="0095194C" w14:paraId="5644D2D2" w14:textId="77777777" w:rsidTr="0095194C">
        <w:trPr>
          <w:trHeight w:val="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5B6F" w14:textId="77777777" w:rsidR="0095194C" w:rsidRPr="0095194C" w:rsidRDefault="0095194C" w:rsidP="00A8482B">
            <w:pPr>
              <w:spacing w:before="60" w:after="60" w:line="200" w:lineRule="exact"/>
              <w:ind w:left="-57" w:right="-57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43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27DE6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2D2D2D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2D2D2D"/>
                <w:spacing w:val="-4"/>
                <w:sz w:val="22"/>
                <w:szCs w:val="22"/>
                <w:lang w:eastAsia="ru-RU"/>
              </w:rPr>
              <w:t xml:space="preserve">Информационная и консультационная поддержка </w:t>
            </w:r>
          </w:p>
        </w:tc>
      </w:tr>
      <w:tr w:rsidR="0095194C" w:rsidRPr="0095194C" w14:paraId="115C72B8" w14:textId="77777777" w:rsidTr="0095194C">
        <w:trPr>
          <w:trHeight w:val="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9C34" w14:textId="77777777" w:rsidR="0095194C" w:rsidRPr="0095194C" w:rsidRDefault="0095194C" w:rsidP="00A8482B">
            <w:pPr>
              <w:spacing w:before="60" w:after="60" w:line="200" w:lineRule="exact"/>
              <w:ind w:left="-57" w:right="-57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D4F88" w14:textId="5FB0CAF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Организация и проведение обучающих семинаров, мастер-классов, лекций, курсов, конференций, выставок-ярмарок круглых столов и встреч для субъектов малого и среднего предпринимательства (далее – СМСП), физических лиц, применяющих специальный налоговый режим </w:t>
            </w:r>
            <w:r w:rsidR="000211CB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«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Налог на профессиональный доход</w:t>
            </w:r>
            <w:r w:rsidR="000211CB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E9AD" w14:textId="77777777" w:rsidR="0095194C" w:rsidRPr="0095194C" w:rsidRDefault="0095194C" w:rsidP="0095194C">
            <w:pPr>
              <w:spacing w:before="60" w:after="60" w:line="200" w:lineRule="exact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ДЭР, Фонд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6073" w14:textId="257E6EBE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Обучение и повышение уровня квалификации СМСП, повышение конкурентоспособности; количество участников мероприятий, стимулирование физических лиц, применяющих специальный налоговый режим </w:t>
            </w:r>
            <w:r w:rsidR="000211CB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«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Налог на профессиональный доход</w:t>
            </w:r>
            <w:r w:rsidR="000211CB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»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 к регистрации в качестве индивидуальных предпринимателей или к созданию юридических лиц – не менее 150 ежегодно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DE402" w14:textId="721A381F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По данным Фонда развития г. Комсомольска-на-Амуре (далее - Фонд) в информационных мероприятиях (в очных и онлайн мероприятиях) Фонда за 2024 год приняло участие 67 – СМСП и физических лиц, применяющих специальный налоговый режим </w:t>
            </w:r>
            <w:r w:rsidR="000211CB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«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Налог на профессиональный доход</w:t>
            </w:r>
            <w:r w:rsidR="000211CB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»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. Вместе с тем по данным единого реестра субъектов МСП общее количество лиц, получивших консультационную поддержку составляет 205 единиц. учитывая то, что индивидуальные консультации оказаны 1</w:t>
            </w:r>
            <w:r w:rsidR="006A101E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39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 лицам (субъектам МСП или их представителям), то количество получателей поддержки в виде участия в мероприятиях составляет 66 ед. Разница может быть обусловлено участием дву</w:t>
            </w:r>
            <w:bookmarkStart w:id="0" w:name="_GoBack"/>
            <w:bookmarkEnd w:id="0"/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х лиц, представляющих один субъек</w:t>
            </w:r>
            <w:r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т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 МСП, в мероприятии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FE75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выполнено частично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ED7A0" w14:textId="2B4ABDD2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1) Смена фактического адреса Фонда </w:t>
            </w:r>
            <w:r w:rsidR="000211CB"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развития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 г. Комсомольска-на-Амуре (далее - Фонд) 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br w:type="page"/>
              <w:t>2) Отсутствие полного штата сотрудников Фонда.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br w:type="page"/>
              <w:t xml:space="preserve">3) Дублирующие функции с ЦОУ </w:t>
            </w:r>
            <w:r w:rsidR="000211CB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«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Мой бизнес</w:t>
            </w:r>
            <w:r w:rsidR="000211CB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»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 в части консультационной поддержки. Кроме того, ЦОУ </w:t>
            </w:r>
            <w:r w:rsidR="000211CB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«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Мой бизнес</w:t>
            </w:r>
            <w:r w:rsidR="000211CB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»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 оказываются иные меры поддержки, помимо консультационных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8C92E" w14:textId="77777777" w:rsidR="001F5C30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1) Увеличить количество публикаций на сайте Фонда и в социальных сетях.</w:t>
            </w:r>
          </w:p>
          <w:p w14:paraId="3AF2D830" w14:textId="6D7AA9C6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br w:type="page"/>
              <w:t xml:space="preserve">2 Использовать новые информационные платформы для оповещения мероприятий.  </w:t>
            </w:r>
          </w:p>
        </w:tc>
      </w:tr>
      <w:tr w:rsidR="0095194C" w:rsidRPr="0095194C" w14:paraId="29028F7F" w14:textId="77777777" w:rsidTr="0095194C">
        <w:trPr>
          <w:trHeight w:val="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C90C" w14:textId="77777777" w:rsidR="0095194C" w:rsidRPr="0095194C" w:rsidRDefault="0095194C" w:rsidP="00A8482B">
            <w:pPr>
              <w:spacing w:before="60" w:after="60" w:line="200" w:lineRule="exact"/>
              <w:ind w:left="-57" w:right="-57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4.2.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A0C8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Оказание индивидуальных очных и дистанционных (в том числе письменных) консультационных услуг по вопросам финансового планирования, маркетингового сопровождения 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lastRenderedPageBreak/>
              <w:t>деятельности, бизнес-планирования, правового обеспечения, подбора персонала, применения трудового законодательства, иным вопросам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F072D" w14:textId="77777777" w:rsidR="0095194C" w:rsidRPr="0095194C" w:rsidRDefault="0095194C" w:rsidP="0095194C">
            <w:pPr>
              <w:spacing w:before="60" w:after="60" w:line="200" w:lineRule="exact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lastRenderedPageBreak/>
              <w:t>Фонд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201E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Содействие информационному обеспечению СМСП, повышение квалификации; количество получивших консультации - не 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lastRenderedPageBreak/>
              <w:t>менее 100 СМСП ежегодно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DF6A" w14:textId="5EA62F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lastRenderedPageBreak/>
              <w:t xml:space="preserve">Количество СМСП и физических лиц, применяющих специальный налоговый режим </w:t>
            </w:r>
            <w:r w:rsidR="000211CB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«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Налог на профессиональный доход</w:t>
            </w:r>
            <w:r w:rsidR="000211CB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»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 - получателей индивидуальных консультаций за 2024 год - 1</w:t>
            </w:r>
            <w:r w:rsidR="006A101E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39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 ед.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A80C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выполнено в полном объеме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19EBB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16E8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 </w:t>
            </w:r>
          </w:p>
        </w:tc>
      </w:tr>
      <w:tr w:rsidR="0095194C" w:rsidRPr="0095194C" w14:paraId="68D6C7AB" w14:textId="77777777" w:rsidTr="0095194C">
        <w:trPr>
          <w:trHeight w:val="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C8B9" w14:textId="77777777" w:rsidR="0095194C" w:rsidRPr="0095194C" w:rsidRDefault="0095194C" w:rsidP="00A8482B">
            <w:pPr>
              <w:spacing w:before="60" w:after="60" w:line="200" w:lineRule="exact"/>
              <w:ind w:left="-57" w:right="-57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4.3.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51A2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Содействие участию СМСП в конкурсах на государственные и муниципальные закупки по поставкам товаров (работ,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B613" w14:textId="77777777" w:rsidR="0095194C" w:rsidRPr="0095194C" w:rsidRDefault="0095194C" w:rsidP="0095194C">
            <w:pPr>
              <w:spacing w:before="60" w:after="60" w:line="200" w:lineRule="exact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ДЭР, 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br/>
              <w:t xml:space="preserve">Фонд, 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br/>
              <w:t>ФУ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9EB6A" w14:textId="1324BF6F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Содействие информационному обеспечению СМСП в области закупок, проведение мероприятий </w:t>
            </w:r>
            <w:r w:rsidR="000211CB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«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День поставщика</w:t>
            </w:r>
            <w:r w:rsidR="000211CB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»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, </w:t>
            </w:r>
            <w:r w:rsidR="000211CB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«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День заказчика</w:t>
            </w:r>
            <w:r w:rsidR="000211CB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»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, реализация проекта </w:t>
            </w:r>
            <w:r w:rsidR="000211CB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«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Крупный бизнес малому</w:t>
            </w:r>
            <w:r w:rsidR="000211CB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»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, информирование СМСП об изменениях законодательства в сфере закупок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2CA8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Администрацией города Комсомольска-на-Амуре проводилось информирование Заказчиков и Уполномоченных органов об изменениях законодательства в сфере закупок, о проведении мероприятий для СМСП по вопросам участия в закупках крупнейших заказчиков.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2F921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выполнено в полном объеме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477E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AB2E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 </w:t>
            </w:r>
          </w:p>
        </w:tc>
      </w:tr>
      <w:tr w:rsidR="0095194C" w:rsidRPr="0095194C" w14:paraId="1FADFFC8" w14:textId="77777777" w:rsidTr="0095194C">
        <w:trPr>
          <w:trHeight w:val="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E1A9" w14:textId="77777777" w:rsidR="0095194C" w:rsidRPr="0095194C" w:rsidRDefault="0095194C" w:rsidP="00A8482B">
            <w:pPr>
              <w:spacing w:before="60" w:after="60" w:line="200" w:lineRule="exact"/>
              <w:ind w:left="-57" w:right="-57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4.4.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D183" w14:textId="54AEC61C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Обеспечение функционирования официального сайта информационной поддержки субъектов малого и среднего предпринимательства администрации города Комсомольска-на-Амуре </w:t>
            </w:r>
            <w:r w:rsidR="000211CB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«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Курс на бизнес</w:t>
            </w:r>
            <w:r w:rsidR="000211CB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13C26" w14:textId="77777777" w:rsidR="0095194C" w:rsidRPr="0095194C" w:rsidRDefault="0095194C" w:rsidP="0095194C">
            <w:pPr>
              <w:spacing w:before="60" w:after="60" w:line="200" w:lineRule="exact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УИТиС, ДЭР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4210" w14:textId="5A6293AF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Расширение возможностей информационного обеспечения предпринимателей города, функционирование официального сайта информационной поддержки субъектов малого и среднего предпринимательства администрации города Комсомольска-на-Амуре </w:t>
            </w:r>
            <w:r w:rsidR="000211CB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«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Курс на бизнес</w:t>
            </w:r>
            <w:r w:rsidR="000211CB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4BDD" w14:textId="2442AF5E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Постановлением администрации города Комсомольска-на-Амуре от 03.03.2021 № 345-па создан официальный сайт информационной поддержки субъектов малого и среднего </w:t>
            </w:r>
            <w:r w:rsidR="000211CB"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предпринимательства администрации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 города Комсомольска-на-Амуре. Сайт функционирует, актуализируется на постоянной основе, наполняется новой информацией.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0DEB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выполнено в полном объеме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9F6C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9F522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 </w:t>
            </w:r>
          </w:p>
        </w:tc>
      </w:tr>
      <w:tr w:rsidR="0095194C" w:rsidRPr="0095194C" w14:paraId="304F4FAA" w14:textId="77777777" w:rsidTr="0095194C">
        <w:trPr>
          <w:trHeight w:val="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5AD1" w14:textId="77777777" w:rsidR="0095194C" w:rsidRPr="0095194C" w:rsidRDefault="0095194C" w:rsidP="00A8482B">
            <w:pPr>
              <w:spacing w:before="60" w:after="60" w:line="200" w:lineRule="exact"/>
              <w:ind w:left="-57" w:right="-57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43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08D9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Пропаганда (популяризация) предпринимательской деятельности и поддержка индивидуальной предпринимательской инициативы</w:t>
            </w:r>
          </w:p>
        </w:tc>
      </w:tr>
      <w:tr w:rsidR="0095194C" w:rsidRPr="0095194C" w14:paraId="774A8FDC" w14:textId="77777777" w:rsidTr="0095194C">
        <w:trPr>
          <w:trHeight w:val="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F6A2" w14:textId="77777777" w:rsidR="0095194C" w:rsidRPr="0095194C" w:rsidRDefault="0095194C" w:rsidP="00A8482B">
            <w:pPr>
              <w:spacing w:before="60" w:after="60" w:line="200" w:lineRule="exact"/>
              <w:ind w:left="-57" w:right="-57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lastRenderedPageBreak/>
              <w:t>5.1.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A8CE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Подготовка и размещение информации о развитии предпринимательства, о мерах поддержки, направленных на развитие предпринимательства на телевидении, в сети Интернет, в специализированных печатных и электронных изданиях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955F" w14:textId="77777777" w:rsidR="0095194C" w:rsidRPr="0095194C" w:rsidRDefault="0095194C" w:rsidP="0095194C">
            <w:pPr>
              <w:spacing w:before="60" w:after="60" w:line="200" w:lineRule="exact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ДЭР, Фонд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40945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Содействие информационному обеспечению СМСП, расширение возможностей информационного обеспечения предпринимателей и населения о развитии и роли МСП в социально-экономическом развитии города, увеличение количества субъектов МСП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78E7" w14:textId="6F6BF232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В течение года на сайте </w:t>
            </w:r>
            <w:r w:rsidR="000211CB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«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Курс на бизнес</w:t>
            </w:r>
            <w:r w:rsidR="000211CB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»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 опубликовано 131 новостное сообщение и 2 истории успеха предпринимателей города, подготовленных Фондом развития г. Комсомольска-на-Амуре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11C8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выполнено в полном объеме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9F3A8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513E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 </w:t>
            </w:r>
          </w:p>
        </w:tc>
      </w:tr>
      <w:tr w:rsidR="0095194C" w:rsidRPr="0095194C" w14:paraId="4C7773E7" w14:textId="77777777" w:rsidTr="0095194C">
        <w:trPr>
          <w:trHeight w:val="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F10C" w14:textId="77777777" w:rsidR="0095194C" w:rsidRPr="0095194C" w:rsidRDefault="0095194C" w:rsidP="00A8482B">
            <w:pPr>
              <w:spacing w:before="60" w:after="60" w:line="200" w:lineRule="exact"/>
              <w:ind w:left="-57" w:right="-57"/>
              <w:jc w:val="center"/>
              <w:rPr>
                <w:rFonts w:eastAsia="Times New Roman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spacing w:val="-4"/>
                <w:sz w:val="22"/>
                <w:szCs w:val="22"/>
                <w:lang w:eastAsia="ru-RU"/>
              </w:rPr>
              <w:t>5.2.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123B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Содействие работе некоммерческих организаций предпринимателей города, в т.ч. Совету по развитию предпринимательства и улучшению инвестиционного климата при главе города Комсомольска-на-Амуре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9361B" w14:textId="77777777" w:rsidR="0095194C" w:rsidRPr="0095194C" w:rsidRDefault="0095194C" w:rsidP="0095194C">
            <w:pPr>
              <w:spacing w:before="60" w:after="60" w:line="200" w:lineRule="exact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ДЭР, Фонд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D7E07" w14:textId="33274D95" w:rsidR="0095194C" w:rsidRPr="0095194C" w:rsidRDefault="0095194C" w:rsidP="00A8482B">
            <w:pPr>
              <w:spacing w:before="60" w:after="60" w:line="200" w:lineRule="exact"/>
              <w:ind w:left="-57" w:right="-57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Обеспечение </w:t>
            </w:r>
            <w:r w:rsidR="000211CB"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наличия координационных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 или совещательных органов в области развития малого и среднего </w:t>
            </w:r>
            <w:r w:rsidRPr="0095194C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предпринимательства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, снижение административных барьеров для СМСП, выработка мер, направленных на улучшение предпринимательской деятельности в городе, наличие информации о деятельности предпринимателей в городе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8B2AD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Создан и действует Совет по развитию предпринимательства и улучшению инвестиционного климата при главе города Комсомольска-на-Амуре. В течение 2024 года проведено 4 заседания. Актуализирован состав Совета.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B727C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выполнено в полном объеме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3DE81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E471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 </w:t>
            </w:r>
          </w:p>
        </w:tc>
      </w:tr>
      <w:tr w:rsidR="0095194C" w:rsidRPr="0095194C" w14:paraId="1B1FB829" w14:textId="77777777" w:rsidTr="0095194C">
        <w:trPr>
          <w:trHeight w:val="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4F3E" w14:textId="77777777" w:rsidR="0095194C" w:rsidRPr="0095194C" w:rsidRDefault="0095194C" w:rsidP="00A8482B">
            <w:pPr>
              <w:spacing w:before="60" w:after="60" w:line="200" w:lineRule="exact"/>
              <w:ind w:left="-57" w:right="-57"/>
              <w:jc w:val="center"/>
              <w:rPr>
                <w:rFonts w:eastAsia="Times New Roman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spacing w:val="-4"/>
                <w:sz w:val="22"/>
                <w:szCs w:val="22"/>
                <w:lang w:eastAsia="ru-RU"/>
              </w:rPr>
              <w:t>5.2.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CDB3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Содействие развитию профильных классов предпринимательской направленности, проведение мероприятий, направленных на 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lastRenderedPageBreak/>
              <w:t>привлечение молодежи в предпринимательскую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0D24" w14:textId="77777777" w:rsidR="0095194C" w:rsidRPr="0095194C" w:rsidRDefault="0095194C" w:rsidP="0095194C">
            <w:pPr>
              <w:spacing w:before="60" w:after="60" w:line="200" w:lineRule="exact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lastRenderedPageBreak/>
              <w:t xml:space="preserve">УО, 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br/>
              <w:t xml:space="preserve">Совет, 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br/>
              <w:t>Фонд,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br/>
              <w:t>ДЭР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F1FF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Привлечение в предпринимательскую деятельности молодежи города, увеличение количества СМСП, 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lastRenderedPageBreak/>
              <w:t>зарегистрированных на территории города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AE42" w14:textId="23A1AD96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lastRenderedPageBreak/>
              <w:t xml:space="preserve">В 2024-2025 учебном году функционируют 8 классов (групп) учащихся 10-11 классов предпринимательской направленности в общеобразовательных школах 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lastRenderedPageBreak/>
              <w:t xml:space="preserve">№№ 8, 30, 36, 50. В 2024 году проведены мероприятия: посвящение в предприниматели, городской конкурс </w:t>
            </w:r>
            <w:r w:rsidR="000211CB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«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Шаги в бизнес</w:t>
            </w:r>
            <w:r w:rsidR="000211CB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»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061A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lastRenderedPageBreak/>
              <w:t>выполнено в полном объеме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CB0B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364A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 </w:t>
            </w:r>
          </w:p>
        </w:tc>
      </w:tr>
      <w:tr w:rsidR="0095194C" w:rsidRPr="0095194C" w14:paraId="739FCD57" w14:textId="77777777" w:rsidTr="00A8482B">
        <w:trPr>
          <w:trHeight w:val="25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B95D" w14:textId="77777777" w:rsidR="0095194C" w:rsidRPr="0095194C" w:rsidRDefault="0095194C" w:rsidP="00A8482B">
            <w:pPr>
              <w:spacing w:before="60" w:after="60" w:line="200" w:lineRule="exact"/>
              <w:ind w:left="-57" w:right="-57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43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EEAA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Развитие социального предпринимательства</w:t>
            </w:r>
          </w:p>
        </w:tc>
      </w:tr>
      <w:tr w:rsidR="0095194C" w:rsidRPr="0095194C" w14:paraId="711D4BE4" w14:textId="77777777" w:rsidTr="0095194C">
        <w:trPr>
          <w:trHeight w:val="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7DC9" w14:textId="77777777" w:rsidR="0095194C" w:rsidRPr="0095194C" w:rsidRDefault="0095194C" w:rsidP="00A8482B">
            <w:pPr>
              <w:spacing w:before="60" w:after="60" w:line="200" w:lineRule="exact"/>
              <w:ind w:left="-57" w:right="-57"/>
              <w:jc w:val="center"/>
              <w:rPr>
                <w:rFonts w:eastAsia="Times New Roman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spacing w:val="-4"/>
                <w:sz w:val="22"/>
                <w:szCs w:val="22"/>
                <w:lang w:eastAsia="ru-RU"/>
              </w:rPr>
              <w:t>6.1.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7798A" w14:textId="53A34321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Сопровождение социальных </w:t>
            </w:r>
            <w:r w:rsidR="00A8482B"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предприятий при подготовке </w:t>
            </w:r>
            <w:r w:rsidR="001F5C30"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ими конкурсной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 </w:t>
            </w:r>
            <w:r w:rsidR="001F5C30"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документации для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 участия в конкурсах на получение краевых и федеральных грантов, при участии в акселерационных программах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5DBA" w14:textId="77777777" w:rsidR="0095194C" w:rsidRPr="0095194C" w:rsidRDefault="0095194C" w:rsidP="0095194C">
            <w:pPr>
              <w:spacing w:before="60" w:after="60" w:line="200" w:lineRule="exact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Фонд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840E" w14:textId="3071D39B" w:rsidR="0095194C" w:rsidRPr="0095194C" w:rsidRDefault="0095194C" w:rsidP="00A8482B">
            <w:pPr>
              <w:spacing w:before="60" w:after="60" w:line="200" w:lineRule="exact"/>
              <w:ind w:left="-57" w:right="-57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Создание благоприятных условий для развития социального </w:t>
            </w:r>
            <w:r w:rsidRPr="0095194C">
              <w:rPr>
                <w:rFonts w:eastAsia="Times New Roman"/>
                <w:color w:val="000000"/>
                <w:spacing w:val="-6"/>
                <w:sz w:val="22"/>
                <w:szCs w:val="22"/>
                <w:lang w:eastAsia="ru-RU"/>
              </w:rPr>
              <w:t>предпринимательства</w:t>
            </w:r>
            <w:r w:rsidR="00A8482B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,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 привлечение дополнительных финансовых средств социальными предприятиями для реализации социальных проектов, популяризация социального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04F9" w14:textId="19A3F99D" w:rsidR="0095194C" w:rsidRPr="0095194C" w:rsidRDefault="0095194C" w:rsidP="00A8482B">
            <w:pPr>
              <w:spacing w:before="60" w:after="60" w:line="200" w:lineRule="exact"/>
              <w:ind w:left="-57" w:right="-57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Проводилось информирование бизнеса об оказании консультационной и методической помощи в подготовке на участие в конкурсе на грант в форме субсидии для субъектов социального предпринимательства. Получателем поддержки стал 1 СМСП на сумму 486,58 тыс. руб.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br/>
              <w:t xml:space="preserve">Фондом оказана помощь </w:t>
            </w:r>
            <w:proofErr w:type="spellStart"/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Лопухову</w:t>
            </w:r>
            <w:proofErr w:type="spellEnd"/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 И.А. (</w:t>
            </w:r>
            <w:r w:rsidR="000211CB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«</w:t>
            </w:r>
            <w:proofErr w:type="spellStart"/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SwimBaby</w:t>
            </w:r>
            <w:proofErr w:type="spellEnd"/>
            <w:r w:rsidR="000211CB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»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аква</w:t>
            </w:r>
            <w:proofErr w:type="spellEnd"/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-клуб для детей в Комсомольске-на Амуре.) в подготовке документов для участия в ежегодной премии </w:t>
            </w:r>
            <w:r w:rsidR="000211CB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«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Импульс добра</w:t>
            </w:r>
            <w:r w:rsidR="000211CB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8FE8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выполнено в полном объеме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1B41D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87B0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 </w:t>
            </w:r>
          </w:p>
        </w:tc>
      </w:tr>
      <w:tr w:rsidR="0095194C" w:rsidRPr="0095194C" w14:paraId="3CACB6EF" w14:textId="77777777" w:rsidTr="0095194C">
        <w:trPr>
          <w:trHeight w:val="2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6BAF" w14:textId="77777777" w:rsidR="0095194C" w:rsidRPr="0095194C" w:rsidRDefault="0095194C" w:rsidP="00A8482B">
            <w:pPr>
              <w:spacing w:before="60" w:after="60" w:line="200" w:lineRule="exact"/>
              <w:ind w:left="-57" w:right="-57"/>
              <w:jc w:val="center"/>
              <w:rPr>
                <w:rFonts w:eastAsia="Times New Roman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spacing w:val="-4"/>
                <w:sz w:val="22"/>
                <w:szCs w:val="22"/>
                <w:lang w:eastAsia="ru-RU"/>
              </w:rPr>
              <w:t>6.3.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C3CE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Оказание содействия СМСП в целях признания СМСП социальным предприятием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AE9F" w14:textId="77777777" w:rsidR="0095194C" w:rsidRPr="0095194C" w:rsidRDefault="0095194C" w:rsidP="0095194C">
            <w:pPr>
              <w:spacing w:before="60" w:after="60" w:line="200" w:lineRule="exact"/>
              <w:jc w:val="center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ДЭР, Фонд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DC1C" w14:textId="6D508397" w:rsidR="0095194C" w:rsidRPr="0095194C" w:rsidRDefault="0095194C" w:rsidP="00A8482B">
            <w:pPr>
              <w:spacing w:before="60" w:after="60" w:line="200" w:lineRule="exact"/>
              <w:ind w:left="-57" w:right="-57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Создание благоприятных условий для развития социального предпринимательства, увеличение количества социальных предприятий, оказание информационной и консультационной </w:t>
            </w:r>
            <w:r w:rsidR="000211CB"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поддержки по</w:t>
            </w: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 вопросам признания СМСП социальным предприятием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E98D" w14:textId="77777777" w:rsidR="0095194C" w:rsidRPr="0095194C" w:rsidRDefault="0095194C" w:rsidP="00A8482B">
            <w:pPr>
              <w:spacing w:before="60" w:after="60" w:line="200" w:lineRule="exact"/>
              <w:ind w:left="-57" w:right="-57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В течение года на постоянной основе проводилось информирование бизнеса о преимуществах получения статуса социального предприятия. По состоянию на 01.01.24 в городе Комсомольске-на-Амуре имеют статус социального предприятия 16 СМСП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95BA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выполнено в полном объеме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A956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F487" w14:textId="77777777" w:rsidR="0095194C" w:rsidRPr="0095194C" w:rsidRDefault="0095194C" w:rsidP="0095194C">
            <w:pPr>
              <w:spacing w:before="60" w:after="60" w:line="20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95194C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 </w:t>
            </w:r>
          </w:p>
        </w:tc>
      </w:tr>
    </w:tbl>
    <w:p w14:paraId="60288C58" w14:textId="77777777" w:rsidR="00436A1F" w:rsidRPr="00095468" w:rsidRDefault="00436A1F" w:rsidP="00436A1F">
      <w:pPr>
        <w:rPr>
          <w:sz w:val="2"/>
          <w:szCs w:val="2"/>
        </w:rPr>
      </w:pPr>
    </w:p>
    <w:p w14:paraId="0E9CE416" w14:textId="77777777" w:rsidR="00436A1F" w:rsidRPr="00C32B14" w:rsidRDefault="00436A1F" w:rsidP="00436A1F">
      <w:pPr>
        <w:rPr>
          <w:sz w:val="2"/>
          <w:szCs w:val="2"/>
        </w:rPr>
      </w:pPr>
    </w:p>
    <w:p w14:paraId="47D15F28" w14:textId="77777777" w:rsidR="00436A1F" w:rsidRDefault="00436A1F" w:rsidP="00436A1F">
      <w:pPr>
        <w:autoSpaceDE w:val="0"/>
        <w:autoSpaceDN w:val="0"/>
        <w:adjustRightInd w:val="0"/>
        <w:jc w:val="center"/>
        <w:rPr>
          <w:sz w:val="24"/>
          <w:szCs w:val="24"/>
        </w:rPr>
        <w:sectPr w:rsidR="00436A1F" w:rsidSect="005F5268">
          <w:pgSz w:w="16838" w:h="11906" w:orient="landscape"/>
          <w:pgMar w:top="1985" w:right="1134" w:bottom="680" w:left="1134" w:header="709" w:footer="709" w:gutter="0"/>
          <w:cols w:space="708"/>
          <w:titlePg/>
          <w:docGrid w:linePitch="360"/>
        </w:sectPr>
      </w:pPr>
      <w:bookmarkStart w:id="1" w:name="P1789"/>
      <w:bookmarkEnd w:id="1"/>
      <w:r w:rsidRPr="00095468">
        <w:rPr>
          <w:sz w:val="24"/>
          <w:szCs w:val="24"/>
        </w:rPr>
        <w:t>______________</w:t>
      </w:r>
    </w:p>
    <w:p w14:paraId="1493206B" w14:textId="2153FC12" w:rsidR="00436A1F" w:rsidRDefault="00436A1F" w:rsidP="00436A1F">
      <w:pPr>
        <w:jc w:val="right"/>
        <w:rPr>
          <w:rFonts w:eastAsia="Times New Roman"/>
          <w:lang w:eastAsia="ru-RU"/>
        </w:rPr>
      </w:pPr>
      <w:r w:rsidRPr="004E5AB5">
        <w:rPr>
          <w:rFonts w:eastAsia="Times New Roman"/>
          <w:sz w:val="24"/>
          <w:szCs w:val="24"/>
          <w:lang w:eastAsia="ru-RU"/>
        </w:rPr>
        <w:lastRenderedPageBreak/>
        <w:tab/>
      </w:r>
      <w:r w:rsidRPr="004E5AB5">
        <w:rPr>
          <w:rFonts w:eastAsia="Times New Roman"/>
          <w:sz w:val="24"/>
          <w:szCs w:val="24"/>
          <w:lang w:eastAsia="ru-RU"/>
        </w:rPr>
        <w:tab/>
      </w:r>
      <w:r w:rsidRPr="004E5AB5">
        <w:rPr>
          <w:rFonts w:eastAsia="Times New Roman"/>
          <w:sz w:val="24"/>
          <w:szCs w:val="24"/>
          <w:lang w:eastAsia="ru-RU"/>
        </w:rPr>
        <w:tab/>
      </w:r>
      <w:r w:rsidRPr="004E5AB5">
        <w:rPr>
          <w:rFonts w:eastAsia="Times New Roman"/>
          <w:sz w:val="24"/>
          <w:szCs w:val="24"/>
          <w:lang w:eastAsia="ru-RU"/>
        </w:rPr>
        <w:tab/>
      </w:r>
      <w:r w:rsidRPr="004E5AB5">
        <w:rPr>
          <w:rFonts w:eastAsia="Times New Roman"/>
          <w:sz w:val="24"/>
          <w:szCs w:val="24"/>
          <w:lang w:eastAsia="ru-RU"/>
        </w:rPr>
        <w:tab/>
      </w:r>
      <w:r w:rsidRPr="004E5AB5">
        <w:rPr>
          <w:rFonts w:eastAsia="Times New Roman"/>
          <w:sz w:val="24"/>
          <w:szCs w:val="24"/>
          <w:lang w:eastAsia="ru-RU"/>
        </w:rPr>
        <w:tab/>
      </w:r>
      <w:r w:rsidRPr="004E5AB5">
        <w:rPr>
          <w:rFonts w:eastAsia="Times New Roman"/>
          <w:sz w:val="24"/>
          <w:szCs w:val="24"/>
          <w:lang w:eastAsia="ru-RU"/>
        </w:rPr>
        <w:tab/>
      </w:r>
      <w:r w:rsidRPr="004E5AB5">
        <w:rPr>
          <w:rFonts w:eastAsia="Times New Roman"/>
          <w:sz w:val="24"/>
          <w:szCs w:val="24"/>
          <w:lang w:eastAsia="ru-RU"/>
        </w:rPr>
        <w:tab/>
      </w:r>
      <w:r w:rsidRPr="004E5AB5">
        <w:rPr>
          <w:rFonts w:eastAsia="Times New Roman"/>
          <w:lang w:eastAsia="ru-RU"/>
        </w:rPr>
        <w:t>Приложение 3</w:t>
      </w:r>
    </w:p>
    <w:p w14:paraId="2DF9F89C" w14:textId="69C349BE" w:rsidR="00355CDF" w:rsidRDefault="00355CDF" w:rsidP="00436A1F">
      <w:pPr>
        <w:jc w:val="right"/>
        <w:rPr>
          <w:rFonts w:eastAsia="Times New Roman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82"/>
        <w:gridCol w:w="2818"/>
        <w:gridCol w:w="1842"/>
        <w:gridCol w:w="1559"/>
        <w:gridCol w:w="1559"/>
        <w:gridCol w:w="1559"/>
        <w:gridCol w:w="1845"/>
        <w:gridCol w:w="1241"/>
        <w:gridCol w:w="1565"/>
      </w:tblGrid>
      <w:tr w:rsidR="00355CDF" w:rsidRPr="00355CDF" w14:paraId="235E6631" w14:textId="77777777" w:rsidTr="00355CDF">
        <w:trPr>
          <w:trHeight w:val="37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99B0F" w14:textId="77777777" w:rsidR="00355CDF" w:rsidRPr="00355CDF" w:rsidRDefault="00355CDF" w:rsidP="00355CDF">
            <w:pPr>
              <w:jc w:val="center"/>
              <w:rPr>
                <w:rFonts w:eastAsia="Times New Roman"/>
                <w:color w:val="000000"/>
                <w:spacing w:val="-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lang w:eastAsia="ru-RU"/>
              </w:rPr>
              <w:t>ИНФОРМАЦИЯ</w:t>
            </w:r>
          </w:p>
        </w:tc>
      </w:tr>
      <w:tr w:rsidR="00355CDF" w:rsidRPr="00355CDF" w14:paraId="7F757C09" w14:textId="77777777" w:rsidTr="00355CDF">
        <w:trPr>
          <w:trHeight w:val="87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3342C" w14:textId="43E29360" w:rsidR="00355CDF" w:rsidRPr="00355CDF" w:rsidRDefault="00355CDF" w:rsidP="00A8482B">
            <w:pPr>
              <w:spacing w:line="240" w:lineRule="exact"/>
              <w:jc w:val="center"/>
              <w:rPr>
                <w:rFonts w:eastAsia="Times New Roman"/>
                <w:color w:val="000000"/>
                <w:spacing w:val="-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lang w:eastAsia="ru-RU"/>
              </w:rPr>
              <w:t xml:space="preserve">о расходах федерального бюджета, краевого бюджета, местного бюджета и внебюджетных средств на реализацию целей муниципальной программы </w:t>
            </w:r>
            <w:r w:rsidR="000211CB">
              <w:rPr>
                <w:rFonts w:eastAsia="Times New Roman"/>
                <w:color w:val="000000"/>
                <w:spacing w:val="-2"/>
                <w:lang w:eastAsia="ru-RU"/>
              </w:rPr>
              <w:t>«</w:t>
            </w:r>
            <w:r w:rsidRPr="00355CDF">
              <w:rPr>
                <w:rFonts w:eastAsia="Times New Roman"/>
                <w:color w:val="000000"/>
                <w:spacing w:val="-2"/>
                <w:lang w:eastAsia="ru-RU"/>
              </w:rPr>
              <w:t>Содействие развитию малого и среднего предпринимательства в городе Комсомольске-на-Амуре</w:t>
            </w:r>
            <w:r w:rsidR="000211CB">
              <w:rPr>
                <w:rFonts w:eastAsia="Times New Roman"/>
                <w:color w:val="000000"/>
                <w:spacing w:val="-2"/>
                <w:lang w:eastAsia="ru-RU"/>
              </w:rPr>
              <w:t>»</w:t>
            </w:r>
          </w:p>
        </w:tc>
      </w:tr>
      <w:tr w:rsidR="00355CDF" w:rsidRPr="00355CDF" w14:paraId="30487986" w14:textId="77777777" w:rsidTr="00355CDF">
        <w:trPr>
          <w:trHeight w:val="315"/>
        </w:trPr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44F71" w14:textId="77777777" w:rsidR="00355CDF" w:rsidRPr="00355CDF" w:rsidRDefault="00355CDF" w:rsidP="00355CDF">
            <w:pPr>
              <w:jc w:val="center"/>
              <w:rPr>
                <w:rFonts w:eastAsia="Times New Roman"/>
                <w:color w:val="000000"/>
                <w:spacing w:val="-2"/>
                <w:lang w:eastAsia="ru-RU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88AB9" w14:textId="77777777" w:rsidR="00355CDF" w:rsidRPr="00355CDF" w:rsidRDefault="00355CDF" w:rsidP="00355CDF">
            <w:pPr>
              <w:jc w:val="center"/>
              <w:rPr>
                <w:rFonts w:eastAsia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ED1E5" w14:textId="77777777" w:rsidR="00355CDF" w:rsidRPr="00355CDF" w:rsidRDefault="00355CDF" w:rsidP="00355CDF">
            <w:pPr>
              <w:rPr>
                <w:rFonts w:eastAsia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70D3D" w14:textId="77777777" w:rsidR="00355CDF" w:rsidRPr="00355CDF" w:rsidRDefault="00355CDF" w:rsidP="00355CDF">
            <w:pPr>
              <w:rPr>
                <w:rFonts w:eastAsia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3CF34" w14:textId="77777777" w:rsidR="00355CDF" w:rsidRPr="00355CDF" w:rsidRDefault="00355CDF" w:rsidP="00355CDF">
            <w:pPr>
              <w:jc w:val="center"/>
              <w:rPr>
                <w:rFonts w:eastAsia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0C30D" w14:textId="77777777" w:rsidR="00355CDF" w:rsidRPr="00355CDF" w:rsidRDefault="00355CDF" w:rsidP="00355CDF">
            <w:pPr>
              <w:jc w:val="center"/>
              <w:rPr>
                <w:rFonts w:eastAsia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7964E" w14:textId="77777777" w:rsidR="00355CDF" w:rsidRPr="00355CDF" w:rsidRDefault="00355CDF" w:rsidP="00355CDF">
            <w:pPr>
              <w:jc w:val="center"/>
              <w:rPr>
                <w:rFonts w:eastAsia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DD3E0" w14:textId="77777777" w:rsidR="00355CDF" w:rsidRPr="00355CDF" w:rsidRDefault="00355CDF" w:rsidP="00355CDF">
            <w:pPr>
              <w:jc w:val="center"/>
              <w:rPr>
                <w:rFonts w:eastAsia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61249" w14:textId="77777777" w:rsidR="00355CDF" w:rsidRPr="00355CDF" w:rsidRDefault="00355CDF" w:rsidP="00355CDF">
            <w:pPr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тыс. рублей</w:t>
            </w:r>
          </w:p>
        </w:tc>
      </w:tr>
      <w:tr w:rsidR="00355CDF" w:rsidRPr="00355CDF" w14:paraId="26B33733" w14:textId="77777777" w:rsidTr="00355CDF">
        <w:trPr>
          <w:trHeight w:val="315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DF05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BEC0" w14:textId="77777777" w:rsidR="00355CDF" w:rsidRPr="00355CDF" w:rsidRDefault="00355CDF" w:rsidP="00355CDF">
            <w:pPr>
              <w:spacing w:line="220" w:lineRule="exact"/>
              <w:ind w:left="-113" w:right="-113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8FDB" w14:textId="77777777" w:rsidR="00355CDF" w:rsidRPr="00355CDF" w:rsidRDefault="00355CDF" w:rsidP="00355CDF">
            <w:pPr>
              <w:spacing w:line="220" w:lineRule="exact"/>
              <w:ind w:left="-113" w:right="-113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Источник финансирования</w:t>
            </w:r>
          </w:p>
        </w:tc>
        <w:tc>
          <w:tcPr>
            <w:tcW w:w="10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C908" w14:textId="77777777" w:rsidR="00355CDF" w:rsidRPr="00355CDF" w:rsidRDefault="00355CDF" w:rsidP="00355CDF">
            <w:pPr>
              <w:spacing w:line="220" w:lineRule="exact"/>
              <w:ind w:left="-113" w:right="-113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 xml:space="preserve">Объем бюджетных ассигнований 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1724" w14:textId="77777777" w:rsidR="00355CDF" w:rsidRPr="00355CDF" w:rsidRDefault="00355CDF" w:rsidP="00355CDF">
            <w:pPr>
              <w:spacing w:line="220" w:lineRule="exact"/>
              <w:ind w:left="-113" w:right="-113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Кредиторская задолженность на 01.01.2024 г.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94C0" w14:textId="22D0ABED" w:rsidR="00355CDF" w:rsidRPr="00355CDF" w:rsidRDefault="00355CDF" w:rsidP="00355CDF">
            <w:pPr>
              <w:spacing w:line="220" w:lineRule="exact"/>
              <w:ind w:left="-113" w:right="-113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Профинансировано на 31.12.2024 г.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46F7" w14:textId="77777777" w:rsidR="00355CDF" w:rsidRPr="00355CDF" w:rsidRDefault="00355CDF" w:rsidP="00355CDF">
            <w:pPr>
              <w:spacing w:line="220" w:lineRule="exact"/>
              <w:ind w:left="-113" w:right="-113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Освоено на 31.12.2024 г.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5AEE" w14:textId="77777777" w:rsidR="00355CDF" w:rsidRPr="00355CDF" w:rsidRDefault="00355CDF" w:rsidP="00355CDF">
            <w:pPr>
              <w:spacing w:line="220" w:lineRule="exact"/>
              <w:ind w:left="-113" w:right="-113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Кредиторская задолженность на 01.01.2025 г.</w:t>
            </w:r>
          </w:p>
        </w:tc>
      </w:tr>
      <w:tr w:rsidR="00355CDF" w:rsidRPr="00355CDF" w14:paraId="77CFD37D" w14:textId="77777777" w:rsidTr="00355CDF">
        <w:trPr>
          <w:trHeight w:val="1575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597818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60FF05" w14:textId="77777777" w:rsidR="00355CDF" w:rsidRPr="00355CDF" w:rsidRDefault="00355CDF" w:rsidP="00355CDF">
            <w:pPr>
              <w:spacing w:line="220" w:lineRule="exact"/>
              <w:ind w:left="-113" w:right="-113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24358A" w14:textId="77777777" w:rsidR="00355CDF" w:rsidRPr="00355CDF" w:rsidRDefault="00355CDF" w:rsidP="00355CDF">
            <w:pPr>
              <w:spacing w:line="220" w:lineRule="exact"/>
              <w:ind w:left="-113" w:right="-113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B6FD" w14:textId="77777777" w:rsidR="00355CDF" w:rsidRPr="00355CDF" w:rsidRDefault="00355CDF" w:rsidP="00355CDF">
            <w:pPr>
              <w:spacing w:line="220" w:lineRule="exact"/>
              <w:ind w:left="-113" w:right="-113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предусмотрено в программе на 31.12.2024 г.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E92B" w14:textId="77777777" w:rsidR="00355CDF" w:rsidRPr="00355CDF" w:rsidRDefault="00355CDF" w:rsidP="00355CDF">
            <w:pPr>
              <w:spacing w:line="220" w:lineRule="exact"/>
              <w:ind w:left="-113" w:right="-113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предусмотрено сводной бюджетной росписью на 31.12.2024 г.</w:t>
            </w: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6BE79E" w14:textId="77777777" w:rsidR="00355CDF" w:rsidRPr="00355CDF" w:rsidRDefault="00355CDF" w:rsidP="00355CDF">
            <w:pPr>
              <w:spacing w:line="220" w:lineRule="exact"/>
              <w:ind w:left="-113" w:right="-113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A17FCC" w14:textId="77777777" w:rsidR="00355CDF" w:rsidRPr="00355CDF" w:rsidRDefault="00355CDF" w:rsidP="00355CDF">
            <w:pPr>
              <w:spacing w:line="220" w:lineRule="exact"/>
              <w:ind w:left="-113" w:right="-113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B0A86C" w14:textId="77777777" w:rsidR="00355CDF" w:rsidRPr="00355CDF" w:rsidRDefault="00355CDF" w:rsidP="00355CDF">
            <w:pPr>
              <w:spacing w:line="220" w:lineRule="exact"/>
              <w:ind w:left="-113" w:right="-113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3A25FA" w14:textId="77777777" w:rsidR="00355CDF" w:rsidRPr="00355CDF" w:rsidRDefault="00355CDF" w:rsidP="00355CDF">
            <w:pPr>
              <w:spacing w:line="220" w:lineRule="exact"/>
              <w:ind w:left="-113" w:right="-113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</w:p>
        </w:tc>
      </w:tr>
    </w:tbl>
    <w:p w14:paraId="3E53539C" w14:textId="77777777" w:rsidR="00355CDF" w:rsidRPr="00355CDF" w:rsidRDefault="00355CDF">
      <w:pPr>
        <w:rPr>
          <w:sz w:val="2"/>
          <w:szCs w:val="2"/>
        </w:rPr>
      </w:pP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83"/>
        <w:gridCol w:w="2818"/>
        <w:gridCol w:w="1844"/>
        <w:gridCol w:w="1559"/>
        <w:gridCol w:w="1559"/>
        <w:gridCol w:w="1559"/>
        <w:gridCol w:w="1844"/>
        <w:gridCol w:w="1241"/>
        <w:gridCol w:w="1562"/>
      </w:tblGrid>
      <w:tr w:rsidR="00355CDF" w:rsidRPr="00355CDF" w14:paraId="3DD75048" w14:textId="77777777" w:rsidTr="00355CDF">
        <w:trPr>
          <w:trHeight w:val="315"/>
          <w:tblHeader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6349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D18C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9C3D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825D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F816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36B6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D255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0E80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15A7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9</w:t>
            </w:r>
          </w:p>
        </w:tc>
      </w:tr>
      <w:tr w:rsidR="00355CDF" w:rsidRPr="00355CDF" w14:paraId="08FF397F" w14:textId="77777777" w:rsidTr="00355CDF">
        <w:trPr>
          <w:trHeight w:val="30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F9EDF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73C8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7DEC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9E66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2 423,29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9CD4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1 509,92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2889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0076" w14:textId="4E4608C4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2 0</w:t>
            </w:r>
            <w:r w:rsidR="000B7547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08</w:t>
            </w: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,</w:t>
            </w:r>
            <w:r w:rsidR="000B7547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8FE6" w14:textId="44A98533" w:rsidR="000B7547" w:rsidRPr="00355CDF" w:rsidRDefault="000B7547" w:rsidP="000B7547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2 008,58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4D02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</w:tr>
      <w:tr w:rsidR="00355CDF" w:rsidRPr="00355CDF" w14:paraId="2ADE62CD" w14:textId="77777777" w:rsidTr="00355CDF">
        <w:trPr>
          <w:trHeight w:val="399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62AD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60C3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F17C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Краевой бюджет (по согласованию)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D0F3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809,92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EF3E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809,92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E5C1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FAD9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809,92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39AA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809,92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F8A2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</w:tr>
      <w:tr w:rsidR="00355CDF" w:rsidRPr="00355CDF" w14:paraId="5512462C" w14:textId="77777777" w:rsidTr="00355CDF">
        <w:trPr>
          <w:trHeight w:val="281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275E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1345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1AE6" w14:textId="304372D1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Бюджет города Комсомольска-на-Амуре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8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700,00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25CF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700,00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3AFB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A5A5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700,00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8B73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700,00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92D1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</w:tr>
      <w:tr w:rsidR="00355CDF" w:rsidRPr="00355CDF" w14:paraId="1B774851" w14:textId="77777777" w:rsidTr="00355CDF">
        <w:trPr>
          <w:trHeight w:val="191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F58E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B0DD2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04D6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Внебюджетные средства (по согласованию)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4D87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913,37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E7F8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EA37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00A4" w14:textId="0605FAD1" w:rsidR="00355CDF" w:rsidRPr="00355CDF" w:rsidRDefault="000B7547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498,66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8A6B" w14:textId="6DDAB454" w:rsidR="00355CDF" w:rsidRPr="00355CDF" w:rsidRDefault="000B7547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498,66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E1A4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</w:tr>
      <w:tr w:rsidR="00355CDF" w:rsidRPr="00355CDF" w14:paraId="0E899730" w14:textId="77777777" w:rsidTr="00355CDF">
        <w:trPr>
          <w:trHeight w:val="30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0917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A400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7C5F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49C3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1 509,92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A46B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1 509,92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69E6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6BE8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1 509,92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6479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1 509,92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2A7C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</w:tr>
      <w:tr w:rsidR="00355CDF" w:rsidRPr="00355CDF" w14:paraId="4C000FD6" w14:textId="77777777" w:rsidTr="00355CDF">
        <w:trPr>
          <w:trHeight w:val="7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D27F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259C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927C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Краевой бюджет (по согласованию)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7D75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809,92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C63F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809,92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496F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0C67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809,92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A689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809,92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8473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</w:tr>
      <w:tr w:rsidR="00355CDF" w:rsidRPr="00355CDF" w14:paraId="5D847C0A" w14:textId="77777777" w:rsidTr="00355CDF">
        <w:trPr>
          <w:trHeight w:val="57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5956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14DB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DC84" w14:textId="5C6F3780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Бюджет города Комсомольска-на-Амуре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8E52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700,00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9583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700,00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A57E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C9FD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700,00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A217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700,00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0228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</w:tr>
      <w:tr w:rsidR="00355CDF" w:rsidRPr="00355CDF" w14:paraId="0D9CFF40" w14:textId="77777777" w:rsidTr="00355CDF">
        <w:trPr>
          <w:trHeight w:val="7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7EB9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590C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Компенсация затрат, связанных с производством (реализацией) товаров, выполнением работ, оказанием услуг субъектам малого и среднего предпринимательства города Комсомольска-на-Амуре, осуществляющим приоритетные виды деятельности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F307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534B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1 509,92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58E9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1 509,92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B570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7EE0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1 509,92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3484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1 509,92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56F7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</w:tr>
      <w:tr w:rsidR="00355CDF" w:rsidRPr="00355CDF" w14:paraId="6E1DC365" w14:textId="77777777" w:rsidTr="00355CDF">
        <w:trPr>
          <w:trHeight w:val="61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F298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A1D7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68CF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Краевой бюджет (по согласованию)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18D6A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809,92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E889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809,92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9F1F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2973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809,92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FBAA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809,92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8F43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</w:tr>
      <w:tr w:rsidR="00355CDF" w:rsidRPr="00355CDF" w14:paraId="433738AE" w14:textId="77777777" w:rsidTr="00355CDF">
        <w:trPr>
          <w:trHeight w:val="1152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F387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4302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69B5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5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3379E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93B3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700,00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F1B3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384B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700,00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6E0A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700,00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327A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</w:tr>
      <w:tr w:rsidR="000B7547" w:rsidRPr="00355CDF" w14:paraId="300FBBCC" w14:textId="77777777" w:rsidTr="000B7547">
        <w:trPr>
          <w:trHeight w:val="30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3431" w14:textId="77777777" w:rsidR="000B7547" w:rsidRPr="00355CDF" w:rsidRDefault="000B7547" w:rsidP="000B7547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127F" w14:textId="77777777" w:rsidR="000B7547" w:rsidRPr="00355CDF" w:rsidRDefault="000B7547" w:rsidP="000B7547">
            <w:pPr>
              <w:spacing w:line="22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Информационная и консультационная поддержка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4BAF" w14:textId="77777777" w:rsidR="000B7547" w:rsidRPr="00355CDF" w:rsidRDefault="000B7547" w:rsidP="000B7547">
            <w:pPr>
              <w:spacing w:line="22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3F3B" w14:textId="77777777" w:rsidR="000B7547" w:rsidRPr="00355CDF" w:rsidRDefault="000B7547" w:rsidP="000B7547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853,37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9F49" w14:textId="77777777" w:rsidR="000B7547" w:rsidRPr="00355CDF" w:rsidRDefault="000B7547" w:rsidP="000B7547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A03D" w14:textId="77777777" w:rsidR="000B7547" w:rsidRPr="00355CDF" w:rsidRDefault="000B7547" w:rsidP="000B7547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3381" w14:textId="180B629F" w:rsidR="000B7547" w:rsidRPr="00355CDF" w:rsidRDefault="000B7547" w:rsidP="000B7547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667778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464,54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B28E" w14:textId="4A7549E8" w:rsidR="000B7547" w:rsidRPr="00355CDF" w:rsidRDefault="000B7547" w:rsidP="000B7547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667778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464,54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D17E" w14:textId="77777777" w:rsidR="000B7547" w:rsidRPr="00355CDF" w:rsidRDefault="000B7547" w:rsidP="000B7547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</w:tr>
      <w:tr w:rsidR="00355CDF" w:rsidRPr="00355CDF" w14:paraId="1F894848" w14:textId="77777777" w:rsidTr="00355CDF">
        <w:trPr>
          <w:trHeight w:val="7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3FAC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B9D06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CC78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Внебюджетные средства (по согласованию)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D08A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853,37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19C5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7A07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21C2" w14:textId="713F4793" w:rsidR="00355CDF" w:rsidRPr="00355CDF" w:rsidRDefault="000B7547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464,54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C055" w14:textId="001D13D8" w:rsidR="00355CDF" w:rsidRPr="00355CDF" w:rsidRDefault="000B7547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464,54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40D8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</w:tr>
      <w:tr w:rsidR="00355CDF" w:rsidRPr="00355CDF" w14:paraId="1A5B491E" w14:textId="77777777" w:rsidTr="00355CDF">
        <w:trPr>
          <w:trHeight w:val="371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B344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31FC" w14:textId="047E9B99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Организация и проведение обучающих семинаров, мастер-классов, лекций, курсов, конференций, выставок-ярмарок круглых столов и встреч для субъектов малого и среднего предпринимательства (далее – СМСП), физических лиц, применяющих специальный налоговый режим </w:t>
            </w:r>
            <w:r w:rsidR="000211CB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«</w:t>
            </w:r>
            <w:r w:rsidRPr="00355CDF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Налог на профессиональный доход</w:t>
            </w:r>
            <w:r w:rsidR="000211CB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7B2B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0CAB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563,25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D344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94B2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44F6" w14:textId="41ED1E18" w:rsidR="00355CDF" w:rsidRPr="00355CDF" w:rsidRDefault="00922472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149,56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521B" w14:textId="21B48DCE" w:rsidR="00355CDF" w:rsidRPr="00355CDF" w:rsidRDefault="00922472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149,56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AD3F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</w:tr>
      <w:tr w:rsidR="00355CDF" w:rsidRPr="00355CDF" w14:paraId="2CFE246D" w14:textId="77777777" w:rsidTr="00355CDF">
        <w:trPr>
          <w:trHeight w:val="189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C7DC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1319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6733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Внебюджетные средства (по согласованию)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BD16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563,25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B941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CF4B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2EE4" w14:textId="3059D29F" w:rsidR="00355CDF" w:rsidRPr="00355CDF" w:rsidRDefault="00922472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149,56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8E9D" w14:textId="5797D050" w:rsidR="00355CDF" w:rsidRPr="00355CDF" w:rsidRDefault="00922472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149,56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CFD5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</w:tr>
      <w:tr w:rsidR="00355CDF" w:rsidRPr="00355CDF" w14:paraId="372779AB" w14:textId="77777777" w:rsidTr="00355CDF">
        <w:trPr>
          <w:trHeight w:val="237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41CA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4.2.</w:t>
            </w:r>
          </w:p>
        </w:tc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B435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 xml:space="preserve">Оказание индивидуальных очных и дистанционных (в том числе письменных) консультационных услуг по вопросам финансового планирования, маркетингового сопровождения деятельности, бизнес-планирования, правового обеспечения, подбора </w:t>
            </w:r>
            <w:r w:rsidRPr="00355CDF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lastRenderedPageBreak/>
              <w:t xml:space="preserve">персонала, применения трудового законодательства, иным вопросам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1637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2854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290,12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EB04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E3BF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1AC8" w14:textId="4F416D66" w:rsidR="00355CDF" w:rsidRPr="00355CDF" w:rsidRDefault="000B7547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314,98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695D" w14:textId="7829DDEF" w:rsidR="00355CDF" w:rsidRPr="00355CDF" w:rsidRDefault="000B7547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314,98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CE40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</w:tr>
      <w:tr w:rsidR="00355CDF" w:rsidRPr="00355CDF" w14:paraId="1E646800" w14:textId="77777777" w:rsidTr="00355CDF">
        <w:trPr>
          <w:trHeight w:val="225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57E3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4CDF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E3B3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Внебюджетные средства (по согласованию)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236C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290,12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8E18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20D6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7DB9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314,98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DCBB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314,98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A016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</w:tr>
      <w:tr w:rsidR="00355CDF" w:rsidRPr="00355CDF" w14:paraId="32D783DD" w14:textId="77777777" w:rsidTr="00355CDF">
        <w:trPr>
          <w:trHeight w:val="7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9328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201F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Пропаганда (популяризация) предпринимательской деятельности и поддержка индивидуальной предпринимательской инициативы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471D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F50F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60,00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0BE7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7363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67F9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34,12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681D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34,12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0444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</w:tr>
      <w:tr w:rsidR="00355CDF" w:rsidRPr="00355CDF" w14:paraId="22E9D249" w14:textId="77777777" w:rsidTr="00355CDF">
        <w:trPr>
          <w:trHeight w:val="108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82FD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E540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8AB6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Внебюджетные средства (по согласованию)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4660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60,00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BE0C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9EC9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6959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34,12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5D7D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34,12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5C4D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</w:tr>
      <w:tr w:rsidR="00355CDF" w:rsidRPr="00355CDF" w14:paraId="5CAAA191" w14:textId="77777777" w:rsidTr="00355CDF">
        <w:trPr>
          <w:trHeight w:val="7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0BF7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5.1.</w:t>
            </w:r>
          </w:p>
        </w:tc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ED94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Содействие работе некоммерческих организаций предпринимателей города, в т.ч. Совету по развитию предпринимательства и улучшению инвестиционного климата при главе города Комсомольска-на-Амуре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2181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2A6D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8C43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B923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428A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8545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7970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</w:tr>
      <w:tr w:rsidR="00355CDF" w:rsidRPr="00355CDF" w14:paraId="40A2AD7D" w14:textId="77777777" w:rsidTr="00355CDF">
        <w:trPr>
          <w:trHeight w:val="1369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1663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9E37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A468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Внебюджетные средства (по согласованию)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1082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20,00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2631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ECE8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6895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EFF8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071D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</w:tr>
      <w:tr w:rsidR="00355CDF" w:rsidRPr="00355CDF" w14:paraId="739F61E8" w14:textId="77777777" w:rsidTr="00355CDF">
        <w:trPr>
          <w:trHeight w:val="7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78F7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5.2.</w:t>
            </w:r>
          </w:p>
        </w:tc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6C6E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Содействие развитию профильных классов предпринимательской направленности, проведение мероприятий, направленных на привлечение молодежи в предпринимательскую деятельность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837E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2FD9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40,00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5EB7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65E1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2295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34,12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90A9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34,12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77C4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</w:tr>
      <w:tr w:rsidR="00355CDF" w:rsidRPr="00355CDF" w14:paraId="592E30DC" w14:textId="77777777" w:rsidTr="00355CDF">
        <w:trPr>
          <w:trHeight w:val="70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FAF7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AEF8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46BF" w14:textId="77777777" w:rsidR="00355CDF" w:rsidRPr="00355CDF" w:rsidRDefault="00355CDF" w:rsidP="00355CDF">
            <w:pPr>
              <w:spacing w:line="220" w:lineRule="exact"/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4"/>
                <w:sz w:val="22"/>
                <w:szCs w:val="22"/>
                <w:lang w:eastAsia="ru-RU"/>
              </w:rPr>
              <w:t>Внебюджетные средства (по согласованию)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E161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40,00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37D5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A7F1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9FEA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34,12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CC44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34,12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3AFF" w14:textId="77777777" w:rsidR="00355CDF" w:rsidRPr="00355CDF" w:rsidRDefault="00355CDF" w:rsidP="00355CDF">
            <w:pPr>
              <w:spacing w:line="220" w:lineRule="exact"/>
              <w:jc w:val="center"/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</w:pPr>
            <w:r w:rsidRPr="00355CDF">
              <w:rPr>
                <w:rFonts w:eastAsia="Times New Roman"/>
                <w:color w:val="000000"/>
                <w:spacing w:val="-2"/>
                <w:sz w:val="22"/>
                <w:szCs w:val="22"/>
                <w:lang w:eastAsia="ru-RU"/>
              </w:rPr>
              <w:t>0,00</w:t>
            </w:r>
          </w:p>
        </w:tc>
      </w:tr>
    </w:tbl>
    <w:p w14:paraId="78E828B7" w14:textId="7D6EF73A" w:rsidR="00F64A7C" w:rsidRDefault="00F64A7C" w:rsidP="00436A1F">
      <w:pPr>
        <w:jc w:val="right"/>
        <w:rPr>
          <w:rFonts w:eastAsia="Times New Roman"/>
          <w:lang w:eastAsia="ru-RU"/>
        </w:rPr>
      </w:pPr>
    </w:p>
    <w:p w14:paraId="1D3DE3E9" w14:textId="2FAA519E" w:rsidR="00436A1F" w:rsidRDefault="00436A1F" w:rsidP="00355CDF">
      <w:pPr>
        <w:jc w:val="center"/>
      </w:pPr>
      <w:r>
        <w:rPr>
          <w:rFonts w:eastAsia="Times New Roman"/>
          <w:lang w:eastAsia="ru-RU"/>
        </w:rPr>
        <w:t>_________________</w:t>
      </w:r>
    </w:p>
    <w:p w14:paraId="256B2B87" w14:textId="0FD3B736" w:rsidR="00460821" w:rsidRPr="00436A1F" w:rsidRDefault="00460821" w:rsidP="003802A9">
      <w:pPr>
        <w:tabs>
          <w:tab w:val="left" w:pos="7702"/>
        </w:tabs>
        <w:spacing w:line="240" w:lineRule="exact"/>
        <w:rPr>
          <w:color w:val="FFFFFF" w:themeColor="background1"/>
        </w:rPr>
      </w:pPr>
    </w:p>
    <w:sectPr w:rsidR="00460821" w:rsidRPr="00436A1F" w:rsidSect="005F5268">
      <w:pgSz w:w="16838" w:h="11906" w:orient="landscape"/>
      <w:pgMar w:top="1985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4CCD1" w14:textId="77777777" w:rsidR="000B7547" w:rsidRDefault="000B7547" w:rsidP="00B84CC4">
      <w:r>
        <w:separator/>
      </w:r>
    </w:p>
  </w:endnote>
  <w:endnote w:type="continuationSeparator" w:id="0">
    <w:p w14:paraId="41E8443E" w14:textId="77777777" w:rsidR="000B7547" w:rsidRDefault="000B7547" w:rsidP="00B8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4A92B" w14:textId="77777777" w:rsidR="000B7547" w:rsidRDefault="000B7547" w:rsidP="00B84CC4">
      <w:r>
        <w:separator/>
      </w:r>
    </w:p>
  </w:footnote>
  <w:footnote w:type="continuationSeparator" w:id="0">
    <w:p w14:paraId="23AE1BC7" w14:textId="77777777" w:rsidR="000B7547" w:rsidRDefault="000B7547" w:rsidP="00B84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43538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48B6DF" w14:textId="77777777" w:rsidR="000B7547" w:rsidRPr="00F0655F" w:rsidRDefault="000B7547" w:rsidP="001853CC">
        <w:pPr>
          <w:pStyle w:val="a3"/>
          <w:spacing w:line="240" w:lineRule="exac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065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65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065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F065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D9C5CB5" w14:textId="77777777" w:rsidR="000B7547" w:rsidRPr="00F0655F" w:rsidRDefault="000B7547" w:rsidP="001853CC">
    <w:pPr>
      <w:pStyle w:val="a3"/>
      <w:spacing w:line="240" w:lineRule="exact"/>
      <w:ind w:left="10632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B4420"/>
    <w:multiLevelType w:val="hybridMultilevel"/>
    <w:tmpl w:val="46744F40"/>
    <w:lvl w:ilvl="0" w:tplc="DD3CD110">
      <w:start w:val="1"/>
      <w:numFmt w:val="decimal"/>
      <w:lvlText w:val="%1)"/>
      <w:lvlJc w:val="left"/>
      <w:pPr>
        <w:ind w:left="1714" w:hanging="10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2D65C1"/>
    <w:multiLevelType w:val="hybridMultilevel"/>
    <w:tmpl w:val="46EACC12"/>
    <w:lvl w:ilvl="0" w:tplc="606ECD58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56254AF"/>
    <w:multiLevelType w:val="hybridMultilevel"/>
    <w:tmpl w:val="F990C76C"/>
    <w:lvl w:ilvl="0" w:tplc="0CBABC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AA1D0C"/>
    <w:multiLevelType w:val="hybridMultilevel"/>
    <w:tmpl w:val="5004348E"/>
    <w:lvl w:ilvl="0" w:tplc="62F82A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0A6437"/>
    <w:multiLevelType w:val="hybridMultilevel"/>
    <w:tmpl w:val="DF0EC14C"/>
    <w:lvl w:ilvl="0" w:tplc="9B8CD3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761305"/>
    <w:multiLevelType w:val="hybridMultilevel"/>
    <w:tmpl w:val="8F067D82"/>
    <w:lvl w:ilvl="0" w:tplc="044405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E604FE"/>
    <w:multiLevelType w:val="hybridMultilevel"/>
    <w:tmpl w:val="12A83F6E"/>
    <w:lvl w:ilvl="0" w:tplc="77CE9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34"/>
    <w:rsid w:val="0000071B"/>
    <w:rsid w:val="00013C24"/>
    <w:rsid w:val="000153F1"/>
    <w:rsid w:val="000211CB"/>
    <w:rsid w:val="00024CB5"/>
    <w:rsid w:val="00032E5E"/>
    <w:rsid w:val="000400D3"/>
    <w:rsid w:val="00042B0D"/>
    <w:rsid w:val="00043B76"/>
    <w:rsid w:val="00052A08"/>
    <w:rsid w:val="000533F9"/>
    <w:rsid w:val="00063603"/>
    <w:rsid w:val="00067CF6"/>
    <w:rsid w:val="000835F1"/>
    <w:rsid w:val="00095468"/>
    <w:rsid w:val="000B25E1"/>
    <w:rsid w:val="000B2D4C"/>
    <w:rsid w:val="000B7547"/>
    <w:rsid w:val="000D08FC"/>
    <w:rsid w:val="000D650B"/>
    <w:rsid w:val="000E2A52"/>
    <w:rsid w:val="000F1528"/>
    <w:rsid w:val="000F3DB5"/>
    <w:rsid w:val="000F5919"/>
    <w:rsid w:val="000F7D22"/>
    <w:rsid w:val="00103761"/>
    <w:rsid w:val="001069E5"/>
    <w:rsid w:val="00112FC3"/>
    <w:rsid w:val="00113E7F"/>
    <w:rsid w:val="001157E0"/>
    <w:rsid w:val="00116B54"/>
    <w:rsid w:val="00134824"/>
    <w:rsid w:val="00151A52"/>
    <w:rsid w:val="00167AEF"/>
    <w:rsid w:val="00171B35"/>
    <w:rsid w:val="00172DA0"/>
    <w:rsid w:val="00173CB4"/>
    <w:rsid w:val="00174C83"/>
    <w:rsid w:val="00174D9E"/>
    <w:rsid w:val="001853CC"/>
    <w:rsid w:val="001A7C56"/>
    <w:rsid w:val="001B6693"/>
    <w:rsid w:val="001C353A"/>
    <w:rsid w:val="001E2AFD"/>
    <w:rsid w:val="001F06B0"/>
    <w:rsid w:val="001F4202"/>
    <w:rsid w:val="001F5C30"/>
    <w:rsid w:val="00205139"/>
    <w:rsid w:val="00211614"/>
    <w:rsid w:val="00211985"/>
    <w:rsid w:val="00213578"/>
    <w:rsid w:val="0021525C"/>
    <w:rsid w:val="00226194"/>
    <w:rsid w:val="00236029"/>
    <w:rsid w:val="00236FB7"/>
    <w:rsid w:val="0024550D"/>
    <w:rsid w:val="00246F1F"/>
    <w:rsid w:val="002511AA"/>
    <w:rsid w:val="002570FF"/>
    <w:rsid w:val="00261645"/>
    <w:rsid w:val="00261F95"/>
    <w:rsid w:val="00270CB0"/>
    <w:rsid w:val="00273104"/>
    <w:rsid w:val="002779E4"/>
    <w:rsid w:val="00284989"/>
    <w:rsid w:val="002915EB"/>
    <w:rsid w:val="00293330"/>
    <w:rsid w:val="002969D8"/>
    <w:rsid w:val="002A766E"/>
    <w:rsid w:val="002B434D"/>
    <w:rsid w:val="002B4402"/>
    <w:rsid w:val="002B63CD"/>
    <w:rsid w:val="002C413B"/>
    <w:rsid w:val="002D0F77"/>
    <w:rsid w:val="002D1376"/>
    <w:rsid w:val="002D79C3"/>
    <w:rsid w:val="002E36B2"/>
    <w:rsid w:val="00302987"/>
    <w:rsid w:val="00304645"/>
    <w:rsid w:val="00317464"/>
    <w:rsid w:val="0032433F"/>
    <w:rsid w:val="00326AFB"/>
    <w:rsid w:val="0033791D"/>
    <w:rsid w:val="003451C2"/>
    <w:rsid w:val="00355725"/>
    <w:rsid w:val="00355CDF"/>
    <w:rsid w:val="003640E6"/>
    <w:rsid w:val="003731DD"/>
    <w:rsid w:val="003802A9"/>
    <w:rsid w:val="00384D36"/>
    <w:rsid w:val="00387F3D"/>
    <w:rsid w:val="003A4B73"/>
    <w:rsid w:val="003B0032"/>
    <w:rsid w:val="003B501A"/>
    <w:rsid w:val="003B57E8"/>
    <w:rsid w:val="003C4668"/>
    <w:rsid w:val="003C6C45"/>
    <w:rsid w:val="003D54B6"/>
    <w:rsid w:val="00403A53"/>
    <w:rsid w:val="0040727A"/>
    <w:rsid w:val="004103E5"/>
    <w:rsid w:val="00415062"/>
    <w:rsid w:val="00415970"/>
    <w:rsid w:val="00427AE6"/>
    <w:rsid w:val="004310F7"/>
    <w:rsid w:val="004324E4"/>
    <w:rsid w:val="00435012"/>
    <w:rsid w:val="00435694"/>
    <w:rsid w:val="00436A1F"/>
    <w:rsid w:val="004377EE"/>
    <w:rsid w:val="00451D7A"/>
    <w:rsid w:val="00460821"/>
    <w:rsid w:val="00461D21"/>
    <w:rsid w:val="00463B15"/>
    <w:rsid w:val="00475A2D"/>
    <w:rsid w:val="00482E93"/>
    <w:rsid w:val="00493773"/>
    <w:rsid w:val="004A1BC5"/>
    <w:rsid w:val="004A4633"/>
    <w:rsid w:val="004A51DE"/>
    <w:rsid w:val="004A7ED3"/>
    <w:rsid w:val="004C51F4"/>
    <w:rsid w:val="004D27AB"/>
    <w:rsid w:val="004E1EE3"/>
    <w:rsid w:val="004E28E0"/>
    <w:rsid w:val="004E5071"/>
    <w:rsid w:val="00500C58"/>
    <w:rsid w:val="00505363"/>
    <w:rsid w:val="005138AB"/>
    <w:rsid w:val="00523240"/>
    <w:rsid w:val="00523E01"/>
    <w:rsid w:val="0052653A"/>
    <w:rsid w:val="00526FCB"/>
    <w:rsid w:val="00535EE4"/>
    <w:rsid w:val="0054030A"/>
    <w:rsid w:val="00546D30"/>
    <w:rsid w:val="00554FAB"/>
    <w:rsid w:val="005902DA"/>
    <w:rsid w:val="005940AF"/>
    <w:rsid w:val="005A7791"/>
    <w:rsid w:val="005A7830"/>
    <w:rsid w:val="005B5D20"/>
    <w:rsid w:val="005C2CDC"/>
    <w:rsid w:val="005D78B7"/>
    <w:rsid w:val="005E125D"/>
    <w:rsid w:val="005F0F21"/>
    <w:rsid w:val="005F5268"/>
    <w:rsid w:val="005F526E"/>
    <w:rsid w:val="00601D27"/>
    <w:rsid w:val="00602318"/>
    <w:rsid w:val="00606957"/>
    <w:rsid w:val="00611AED"/>
    <w:rsid w:val="006129F1"/>
    <w:rsid w:val="00621F65"/>
    <w:rsid w:val="006404D4"/>
    <w:rsid w:val="00640DF1"/>
    <w:rsid w:val="00644416"/>
    <w:rsid w:val="00644E45"/>
    <w:rsid w:val="00646A08"/>
    <w:rsid w:val="0066340E"/>
    <w:rsid w:val="00664E92"/>
    <w:rsid w:val="00677D23"/>
    <w:rsid w:val="00695455"/>
    <w:rsid w:val="00696A02"/>
    <w:rsid w:val="006A0596"/>
    <w:rsid w:val="006A101E"/>
    <w:rsid w:val="006B4052"/>
    <w:rsid w:val="006B4E8E"/>
    <w:rsid w:val="006B5BCD"/>
    <w:rsid w:val="006C2259"/>
    <w:rsid w:val="006C462C"/>
    <w:rsid w:val="006C6CFF"/>
    <w:rsid w:val="006C7310"/>
    <w:rsid w:val="006D4FE0"/>
    <w:rsid w:val="006E2D49"/>
    <w:rsid w:val="00700C4F"/>
    <w:rsid w:val="00710C24"/>
    <w:rsid w:val="007142F5"/>
    <w:rsid w:val="00717309"/>
    <w:rsid w:val="00726A6C"/>
    <w:rsid w:val="007274E4"/>
    <w:rsid w:val="00732362"/>
    <w:rsid w:val="00740018"/>
    <w:rsid w:val="0074328A"/>
    <w:rsid w:val="00746032"/>
    <w:rsid w:val="007472BE"/>
    <w:rsid w:val="00753929"/>
    <w:rsid w:val="00771F28"/>
    <w:rsid w:val="00776D07"/>
    <w:rsid w:val="007A6E1C"/>
    <w:rsid w:val="007B3FF8"/>
    <w:rsid w:val="007B5645"/>
    <w:rsid w:val="007C11C0"/>
    <w:rsid w:val="007C68D3"/>
    <w:rsid w:val="007E3F93"/>
    <w:rsid w:val="007E6EB0"/>
    <w:rsid w:val="007F21BC"/>
    <w:rsid w:val="00800240"/>
    <w:rsid w:val="00823DC2"/>
    <w:rsid w:val="0084406E"/>
    <w:rsid w:val="008449D8"/>
    <w:rsid w:val="008706E9"/>
    <w:rsid w:val="00873D4E"/>
    <w:rsid w:val="00882736"/>
    <w:rsid w:val="008841EC"/>
    <w:rsid w:val="00894EEB"/>
    <w:rsid w:val="00896B57"/>
    <w:rsid w:val="00896DF6"/>
    <w:rsid w:val="008A351A"/>
    <w:rsid w:val="008C7780"/>
    <w:rsid w:val="008D2427"/>
    <w:rsid w:val="008D4443"/>
    <w:rsid w:val="008D4D83"/>
    <w:rsid w:val="008F3115"/>
    <w:rsid w:val="008F3ABC"/>
    <w:rsid w:val="00901811"/>
    <w:rsid w:val="009126B4"/>
    <w:rsid w:val="0091508F"/>
    <w:rsid w:val="0091590C"/>
    <w:rsid w:val="00916E7E"/>
    <w:rsid w:val="00920D4E"/>
    <w:rsid w:val="0092172E"/>
    <w:rsid w:val="00922472"/>
    <w:rsid w:val="00925511"/>
    <w:rsid w:val="00930EC5"/>
    <w:rsid w:val="0093588C"/>
    <w:rsid w:val="00940AF5"/>
    <w:rsid w:val="00944C26"/>
    <w:rsid w:val="009464DE"/>
    <w:rsid w:val="00946ECF"/>
    <w:rsid w:val="0095194C"/>
    <w:rsid w:val="009561D7"/>
    <w:rsid w:val="00956AC2"/>
    <w:rsid w:val="00973FB1"/>
    <w:rsid w:val="00984A2A"/>
    <w:rsid w:val="00986DEE"/>
    <w:rsid w:val="00987A97"/>
    <w:rsid w:val="00992569"/>
    <w:rsid w:val="00992834"/>
    <w:rsid w:val="009949DE"/>
    <w:rsid w:val="009A3D67"/>
    <w:rsid w:val="009A5AB4"/>
    <w:rsid w:val="009B141B"/>
    <w:rsid w:val="009B2BAA"/>
    <w:rsid w:val="009B5875"/>
    <w:rsid w:val="009C6E13"/>
    <w:rsid w:val="009D4941"/>
    <w:rsid w:val="009D60F6"/>
    <w:rsid w:val="009E105C"/>
    <w:rsid w:val="009F2919"/>
    <w:rsid w:val="009F5C8F"/>
    <w:rsid w:val="009F638D"/>
    <w:rsid w:val="00A06089"/>
    <w:rsid w:val="00A16232"/>
    <w:rsid w:val="00A16702"/>
    <w:rsid w:val="00A20A11"/>
    <w:rsid w:val="00A21584"/>
    <w:rsid w:val="00A2238B"/>
    <w:rsid w:val="00A25EF5"/>
    <w:rsid w:val="00A54A66"/>
    <w:rsid w:val="00A566F4"/>
    <w:rsid w:val="00A665E4"/>
    <w:rsid w:val="00A74F8B"/>
    <w:rsid w:val="00A8482B"/>
    <w:rsid w:val="00A90F5C"/>
    <w:rsid w:val="00A93717"/>
    <w:rsid w:val="00A95DD7"/>
    <w:rsid w:val="00AB7E11"/>
    <w:rsid w:val="00AC0B50"/>
    <w:rsid w:val="00AC307C"/>
    <w:rsid w:val="00B06837"/>
    <w:rsid w:val="00B15D79"/>
    <w:rsid w:val="00B22404"/>
    <w:rsid w:val="00B3070F"/>
    <w:rsid w:val="00B32213"/>
    <w:rsid w:val="00B55595"/>
    <w:rsid w:val="00B564B3"/>
    <w:rsid w:val="00B60E90"/>
    <w:rsid w:val="00B6792D"/>
    <w:rsid w:val="00B77721"/>
    <w:rsid w:val="00B842AA"/>
    <w:rsid w:val="00B84CC4"/>
    <w:rsid w:val="00B86EA6"/>
    <w:rsid w:val="00BC1DC2"/>
    <w:rsid w:val="00BC5F27"/>
    <w:rsid w:val="00BC6233"/>
    <w:rsid w:val="00BE40B8"/>
    <w:rsid w:val="00BE456B"/>
    <w:rsid w:val="00BE6F8D"/>
    <w:rsid w:val="00BF1188"/>
    <w:rsid w:val="00C00EF8"/>
    <w:rsid w:val="00C01D1E"/>
    <w:rsid w:val="00C038D7"/>
    <w:rsid w:val="00C1440A"/>
    <w:rsid w:val="00C22E04"/>
    <w:rsid w:val="00C32B14"/>
    <w:rsid w:val="00C36DDB"/>
    <w:rsid w:val="00C571A2"/>
    <w:rsid w:val="00C5790F"/>
    <w:rsid w:val="00C64225"/>
    <w:rsid w:val="00C809BB"/>
    <w:rsid w:val="00C81E23"/>
    <w:rsid w:val="00C86124"/>
    <w:rsid w:val="00C87BF3"/>
    <w:rsid w:val="00CB018F"/>
    <w:rsid w:val="00CB6584"/>
    <w:rsid w:val="00CC4498"/>
    <w:rsid w:val="00CC5D95"/>
    <w:rsid w:val="00CD5116"/>
    <w:rsid w:val="00CE5C55"/>
    <w:rsid w:val="00CF1144"/>
    <w:rsid w:val="00CF1474"/>
    <w:rsid w:val="00CF375D"/>
    <w:rsid w:val="00D050B0"/>
    <w:rsid w:val="00D07C3E"/>
    <w:rsid w:val="00D148AF"/>
    <w:rsid w:val="00D14D61"/>
    <w:rsid w:val="00D15B3C"/>
    <w:rsid w:val="00D23422"/>
    <w:rsid w:val="00D2798A"/>
    <w:rsid w:val="00D3132F"/>
    <w:rsid w:val="00D5386C"/>
    <w:rsid w:val="00D6100F"/>
    <w:rsid w:val="00D6207B"/>
    <w:rsid w:val="00D67B81"/>
    <w:rsid w:val="00D75138"/>
    <w:rsid w:val="00D7715B"/>
    <w:rsid w:val="00D808E0"/>
    <w:rsid w:val="00D856D1"/>
    <w:rsid w:val="00D92393"/>
    <w:rsid w:val="00D97332"/>
    <w:rsid w:val="00DA6D46"/>
    <w:rsid w:val="00DB1C50"/>
    <w:rsid w:val="00DB44FF"/>
    <w:rsid w:val="00DC6563"/>
    <w:rsid w:val="00DD7DA6"/>
    <w:rsid w:val="00DE04C5"/>
    <w:rsid w:val="00DE0AA3"/>
    <w:rsid w:val="00DE2BC2"/>
    <w:rsid w:val="00DE4989"/>
    <w:rsid w:val="00DE5F68"/>
    <w:rsid w:val="00DF35A6"/>
    <w:rsid w:val="00DF46CC"/>
    <w:rsid w:val="00E02624"/>
    <w:rsid w:val="00E03E38"/>
    <w:rsid w:val="00E0626E"/>
    <w:rsid w:val="00E10F11"/>
    <w:rsid w:val="00E2722F"/>
    <w:rsid w:val="00E327D5"/>
    <w:rsid w:val="00E372F0"/>
    <w:rsid w:val="00E43AEF"/>
    <w:rsid w:val="00E45A5C"/>
    <w:rsid w:val="00E461C6"/>
    <w:rsid w:val="00E76185"/>
    <w:rsid w:val="00E9145A"/>
    <w:rsid w:val="00EA2C5A"/>
    <w:rsid w:val="00EB100F"/>
    <w:rsid w:val="00EB4E21"/>
    <w:rsid w:val="00EC0288"/>
    <w:rsid w:val="00EC1926"/>
    <w:rsid w:val="00ED7F16"/>
    <w:rsid w:val="00EF5BD0"/>
    <w:rsid w:val="00F16D83"/>
    <w:rsid w:val="00F30092"/>
    <w:rsid w:val="00F317D7"/>
    <w:rsid w:val="00F3414E"/>
    <w:rsid w:val="00F406E5"/>
    <w:rsid w:val="00F42305"/>
    <w:rsid w:val="00F50825"/>
    <w:rsid w:val="00F53C42"/>
    <w:rsid w:val="00F64A7C"/>
    <w:rsid w:val="00F70C88"/>
    <w:rsid w:val="00F71803"/>
    <w:rsid w:val="00F71A00"/>
    <w:rsid w:val="00F75567"/>
    <w:rsid w:val="00F94E8B"/>
    <w:rsid w:val="00FA4E21"/>
    <w:rsid w:val="00FA7EB5"/>
    <w:rsid w:val="00FA7F1F"/>
    <w:rsid w:val="00FC23FE"/>
    <w:rsid w:val="00FC45C9"/>
    <w:rsid w:val="00FC640E"/>
    <w:rsid w:val="00FD0938"/>
    <w:rsid w:val="00FD5082"/>
    <w:rsid w:val="00FD7E62"/>
    <w:rsid w:val="00FE13C8"/>
    <w:rsid w:val="00FE35B7"/>
    <w:rsid w:val="00FE64C2"/>
    <w:rsid w:val="00FE7B07"/>
    <w:rsid w:val="00FF029B"/>
    <w:rsid w:val="00FF216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87FD"/>
  <w15:docId w15:val="{68C5A138-5972-46F7-BB23-2E39C982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821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460821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84C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4CC4"/>
  </w:style>
  <w:style w:type="character" w:styleId="a7">
    <w:name w:val="Hyperlink"/>
    <w:basedOn w:val="a0"/>
    <w:uiPriority w:val="99"/>
    <w:unhideWhenUsed/>
    <w:rsid w:val="00523E0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74D9E"/>
    <w:rPr>
      <w:rFonts w:eastAsia="MS Mincho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D7DA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217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172E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DE4989"/>
    <w:rPr>
      <w:color w:val="808080"/>
    </w:rPr>
  </w:style>
  <w:style w:type="paragraph" w:customStyle="1" w:styleId="21">
    <w:name w:val="Основной текст 21"/>
    <w:basedOn w:val="a"/>
    <w:rsid w:val="00493773"/>
    <w:pPr>
      <w:suppressAutoHyphens/>
      <w:jc w:val="both"/>
    </w:pPr>
    <w:rPr>
      <w:rFonts w:eastAsia="MS Mincho"/>
      <w:kern w:val="1"/>
      <w:szCs w:val="20"/>
      <w:lang w:eastAsia="ar-SA"/>
    </w:rPr>
  </w:style>
  <w:style w:type="character" w:styleId="ad">
    <w:name w:val="annotation reference"/>
    <w:basedOn w:val="a0"/>
    <w:uiPriority w:val="99"/>
    <w:semiHidden/>
    <w:unhideWhenUsed/>
    <w:rsid w:val="00F64A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64A7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64A7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4A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64A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9634C-1EAE-4B24-B2A3-297E6E67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6538</Words>
  <Characters>37269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Конозобко Марина Сергеевна</dc:creator>
  <cp:lastModifiedBy>Конозобко Марина Сергеевна</cp:lastModifiedBy>
  <cp:revision>6</cp:revision>
  <cp:lastPrinted>2025-02-23T23:12:00Z</cp:lastPrinted>
  <dcterms:created xsi:type="dcterms:W3CDTF">2025-02-26T02:08:00Z</dcterms:created>
  <dcterms:modified xsi:type="dcterms:W3CDTF">2025-03-26T10:12:00Z</dcterms:modified>
</cp:coreProperties>
</file>