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6753"/>
      </w:tblGrid>
      <w:tr w:rsidR="008F589E" w:rsidRPr="002B14FF" w14:paraId="69890020" w14:textId="77777777" w:rsidTr="008F589E">
        <w:tc>
          <w:tcPr>
            <w:tcW w:w="2456" w:type="dxa"/>
          </w:tcPr>
          <w:p w14:paraId="4FC27ABB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753" w:type="dxa"/>
          </w:tcPr>
          <w:p w14:paraId="72EB49E6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8F589E" w:rsidRPr="002B14FF" w14:paraId="156D802A" w14:textId="77777777" w:rsidTr="008F589E">
        <w:tc>
          <w:tcPr>
            <w:tcW w:w="9209" w:type="dxa"/>
            <w:gridSpan w:val="2"/>
          </w:tcPr>
          <w:p w14:paraId="3E62CCE6" w14:textId="77777777" w:rsidR="008F589E" w:rsidRPr="002B14FF" w:rsidRDefault="008F589E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8F589E" w:rsidRPr="002B14FF" w14:paraId="668BCB64" w14:textId="77777777" w:rsidTr="008F589E">
        <w:tc>
          <w:tcPr>
            <w:tcW w:w="2456" w:type="dxa"/>
          </w:tcPr>
          <w:p w14:paraId="24DA992F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753" w:type="dxa"/>
          </w:tcPr>
          <w:p w14:paraId="71337650" w14:textId="379E2E6E" w:rsidR="008F589E" w:rsidRPr="009B371B" w:rsidRDefault="008F589E" w:rsidP="004C0773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Земельный участок 0,4 га</w:t>
            </w:r>
          </w:p>
        </w:tc>
      </w:tr>
      <w:tr w:rsidR="008F589E" w:rsidRPr="002B14FF" w14:paraId="41C39B47" w14:textId="77777777" w:rsidTr="008F589E">
        <w:tc>
          <w:tcPr>
            <w:tcW w:w="2456" w:type="dxa"/>
          </w:tcPr>
          <w:p w14:paraId="1C06B35E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753" w:type="dxa"/>
          </w:tcPr>
          <w:p w14:paraId="517C9D08" w14:textId="77777777" w:rsidR="008F589E" w:rsidRPr="009B371B" w:rsidRDefault="008F589E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Отсутствует</w:t>
            </w:r>
          </w:p>
          <w:p w14:paraId="481BD02D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54122C2C" w14:textId="77777777" w:rsidTr="008F589E">
        <w:tc>
          <w:tcPr>
            <w:tcW w:w="2456" w:type="dxa"/>
          </w:tcPr>
          <w:p w14:paraId="0828C2BF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753" w:type="dxa"/>
          </w:tcPr>
          <w:p w14:paraId="224AB7E1" w14:textId="77777777" w:rsidR="008F589E" w:rsidRPr="009B371B" w:rsidRDefault="008F589E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Без льгот</w:t>
            </w:r>
          </w:p>
          <w:p w14:paraId="1EC3C599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67DBEB01" w14:textId="77777777" w:rsidTr="008F589E">
        <w:tc>
          <w:tcPr>
            <w:tcW w:w="2456" w:type="dxa"/>
          </w:tcPr>
          <w:p w14:paraId="58358068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753" w:type="dxa"/>
          </w:tcPr>
          <w:p w14:paraId="178BE941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8F589E" w:rsidRPr="002B14FF" w14:paraId="7EEB9162" w14:textId="77777777" w:rsidTr="008F589E">
        <w:tc>
          <w:tcPr>
            <w:tcW w:w="2456" w:type="dxa"/>
          </w:tcPr>
          <w:p w14:paraId="7AD38078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753" w:type="dxa"/>
          </w:tcPr>
          <w:p w14:paraId="1EF46625" w14:textId="290DF9E8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8F589E" w:rsidRPr="002B14FF" w14:paraId="43EAE23C" w14:textId="77777777" w:rsidTr="008F589E">
        <w:tc>
          <w:tcPr>
            <w:tcW w:w="2456" w:type="dxa"/>
          </w:tcPr>
          <w:p w14:paraId="2E354FC5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753" w:type="dxa"/>
          </w:tcPr>
          <w:p w14:paraId="4E41F316" w14:textId="05BABCC0" w:rsidR="008F589E" w:rsidRPr="009B371B" w:rsidRDefault="008F589E" w:rsidP="002F5085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 xml:space="preserve">г. Комсомольск-на-Амуре, по Северному шоссе (ранее территория ПО </w:t>
            </w:r>
            <w:r>
              <w:rPr>
                <w:rFonts w:ascii="Times New Roman" w:hAnsi="Times New Roman" w:cs="Times New Roman"/>
              </w:rPr>
              <w:t>"</w:t>
            </w:r>
            <w:r w:rsidRPr="009B371B">
              <w:rPr>
                <w:rFonts w:ascii="Times New Roman" w:hAnsi="Times New Roman" w:cs="Times New Roman"/>
              </w:rPr>
              <w:t>Комсомольскметаллургстрой")</w:t>
            </w:r>
          </w:p>
        </w:tc>
      </w:tr>
      <w:tr w:rsidR="008F589E" w:rsidRPr="002B14FF" w14:paraId="776193D6" w14:textId="77777777" w:rsidTr="008F589E">
        <w:tc>
          <w:tcPr>
            <w:tcW w:w="2456" w:type="dxa"/>
          </w:tcPr>
          <w:p w14:paraId="24F5E2E1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753" w:type="dxa"/>
          </w:tcPr>
          <w:p w14:paraId="080D855E" w14:textId="108C37A9" w:rsidR="008F589E" w:rsidRPr="009B371B" w:rsidRDefault="00E06BDB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8F589E" w:rsidRPr="002B14FF" w14:paraId="7640989F" w14:textId="77777777" w:rsidTr="008F589E">
        <w:tc>
          <w:tcPr>
            <w:tcW w:w="2456" w:type="dxa"/>
          </w:tcPr>
          <w:p w14:paraId="75716E14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753" w:type="dxa"/>
          </w:tcPr>
          <w:p w14:paraId="649954AC" w14:textId="77777777" w:rsidR="008F589E" w:rsidRPr="009B371B" w:rsidRDefault="008F589E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14:paraId="1B98E07E" w14:textId="77777777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1D157721" w14:textId="77777777" w:rsidTr="008F589E">
        <w:tc>
          <w:tcPr>
            <w:tcW w:w="2456" w:type="dxa"/>
          </w:tcPr>
          <w:p w14:paraId="272BF5F0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753" w:type="dxa"/>
          </w:tcPr>
          <w:p w14:paraId="126D319E" w14:textId="77777777" w:rsidR="008F589E" w:rsidRPr="002B14FF" w:rsidRDefault="008F589E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07A0FC8F" w14:textId="77777777" w:rsidTr="008F589E">
        <w:tc>
          <w:tcPr>
            <w:tcW w:w="9209" w:type="dxa"/>
            <w:gridSpan w:val="2"/>
          </w:tcPr>
          <w:p w14:paraId="7A590F4C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8F589E" w:rsidRPr="002B14FF" w14:paraId="3ECA7CD1" w14:textId="77777777" w:rsidTr="008F589E">
        <w:tc>
          <w:tcPr>
            <w:tcW w:w="2456" w:type="dxa"/>
          </w:tcPr>
          <w:p w14:paraId="4605BC8F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753" w:type="dxa"/>
          </w:tcPr>
          <w:p w14:paraId="1A5C2750" w14:textId="77777777" w:rsidR="008F589E" w:rsidRPr="002B14FF" w:rsidRDefault="008F589E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70842FC5" w14:textId="77777777" w:rsidTr="008F589E">
        <w:tc>
          <w:tcPr>
            <w:tcW w:w="2456" w:type="dxa"/>
          </w:tcPr>
          <w:p w14:paraId="79232122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753" w:type="dxa"/>
          </w:tcPr>
          <w:p w14:paraId="44FD4BDB" w14:textId="77777777" w:rsidR="008F589E" w:rsidRPr="00CC2457" w:rsidRDefault="008F589E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8F589E" w:rsidRPr="00CC2457" w:rsidRDefault="008F589E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26001B4D" w14:textId="77777777" w:rsidTr="008F589E">
        <w:tc>
          <w:tcPr>
            <w:tcW w:w="2456" w:type="dxa"/>
          </w:tcPr>
          <w:p w14:paraId="1A2979AD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753" w:type="dxa"/>
          </w:tcPr>
          <w:p w14:paraId="442DA4E9" w14:textId="0E830F92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F589E" w:rsidRPr="002B14FF" w14:paraId="16980D5A" w14:textId="77777777" w:rsidTr="008F589E">
        <w:tc>
          <w:tcPr>
            <w:tcW w:w="2456" w:type="dxa"/>
          </w:tcPr>
          <w:p w14:paraId="6D242865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753" w:type="dxa"/>
          </w:tcPr>
          <w:p w14:paraId="1F2E9937" w14:textId="70F580DF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F589E" w:rsidRPr="002B14FF" w14:paraId="3879E710" w14:textId="77777777" w:rsidTr="008F589E">
        <w:tc>
          <w:tcPr>
            <w:tcW w:w="2456" w:type="dxa"/>
          </w:tcPr>
          <w:p w14:paraId="6244F41C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6753" w:type="dxa"/>
          </w:tcPr>
          <w:p w14:paraId="0A55BBC7" w14:textId="4E5A970F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F589E" w:rsidRPr="002B14FF" w14:paraId="1E7C80CA" w14:textId="77777777" w:rsidTr="008F589E">
        <w:tc>
          <w:tcPr>
            <w:tcW w:w="2456" w:type="dxa"/>
          </w:tcPr>
          <w:p w14:paraId="37A2337E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6753" w:type="dxa"/>
          </w:tcPr>
          <w:p w14:paraId="649E4B14" w14:textId="3CBA6E7F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8F589E" w:rsidRPr="002B14FF" w14:paraId="06E56B99" w14:textId="77777777" w:rsidTr="008F589E">
        <w:trPr>
          <w:trHeight w:val="1947"/>
        </w:trPr>
        <w:tc>
          <w:tcPr>
            <w:tcW w:w="2456" w:type="dxa"/>
          </w:tcPr>
          <w:p w14:paraId="29659795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753" w:type="dxa"/>
          </w:tcPr>
          <w:p w14:paraId="3974EC92" w14:textId="12761E02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постановление Правительства Хабаровского края от 19.12.2019 № 565-пр</w:t>
            </w:r>
          </w:p>
        </w:tc>
      </w:tr>
      <w:tr w:rsidR="008F589E" w:rsidRPr="002B14FF" w14:paraId="7A7E7739" w14:textId="77777777" w:rsidTr="008F589E">
        <w:trPr>
          <w:trHeight w:val="1252"/>
        </w:trPr>
        <w:tc>
          <w:tcPr>
            <w:tcW w:w="2456" w:type="dxa"/>
          </w:tcPr>
          <w:p w14:paraId="2A5D9052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Класс опасности объекта</w:t>
            </w:r>
          </w:p>
        </w:tc>
        <w:tc>
          <w:tcPr>
            <w:tcW w:w="6753" w:type="dxa"/>
          </w:tcPr>
          <w:p w14:paraId="6276550E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77D065C4" w14:textId="77777777" w:rsidTr="008F589E">
        <w:tc>
          <w:tcPr>
            <w:tcW w:w="2456" w:type="dxa"/>
          </w:tcPr>
          <w:p w14:paraId="60B0C3F6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753" w:type="dxa"/>
          </w:tcPr>
          <w:p w14:paraId="785A90C0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0BF655AB" w14:textId="77777777" w:rsidTr="008F589E">
        <w:trPr>
          <w:trHeight w:val="284"/>
        </w:trPr>
        <w:tc>
          <w:tcPr>
            <w:tcW w:w="9209" w:type="dxa"/>
            <w:gridSpan w:val="2"/>
          </w:tcPr>
          <w:p w14:paraId="7ACD2984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8F589E" w:rsidRPr="002B14FF" w14:paraId="2C001F9F" w14:textId="77777777" w:rsidTr="008F589E">
        <w:tc>
          <w:tcPr>
            <w:tcW w:w="2456" w:type="dxa"/>
          </w:tcPr>
          <w:p w14:paraId="04412AA3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6753" w:type="dxa"/>
          </w:tcPr>
          <w:p w14:paraId="530D5474" w14:textId="06B94948" w:rsidR="008F589E" w:rsidRPr="006456A6" w:rsidRDefault="008F589E" w:rsidP="00645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8F589E" w:rsidRPr="002B14FF" w14:paraId="1E51A028" w14:textId="77777777" w:rsidTr="008F589E">
        <w:tc>
          <w:tcPr>
            <w:tcW w:w="2456" w:type="dxa"/>
          </w:tcPr>
          <w:p w14:paraId="1BC9EA89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753" w:type="dxa"/>
          </w:tcPr>
          <w:p w14:paraId="2C374018" w14:textId="508DC55F" w:rsidR="008F589E" w:rsidRPr="006456A6" w:rsidRDefault="008F589E" w:rsidP="006456A6">
            <w:pPr>
              <w:jc w:val="center"/>
              <w:rPr>
                <w:rFonts w:ascii="Times New Roman" w:hAnsi="Times New Roman" w:cs="Times New Roman"/>
              </w:rPr>
            </w:pPr>
            <w:r w:rsidRPr="006456A6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8F589E" w:rsidRPr="002B14FF" w14:paraId="37EA5689" w14:textId="77777777" w:rsidTr="008F589E">
        <w:tc>
          <w:tcPr>
            <w:tcW w:w="2456" w:type="dxa"/>
          </w:tcPr>
          <w:p w14:paraId="3C79DAC6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6753" w:type="dxa"/>
          </w:tcPr>
          <w:p w14:paraId="0C18BAC6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Производственная деятельность</w:t>
            </w:r>
          </w:p>
          <w:p w14:paraId="2BC1FD8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  <w:p w14:paraId="4C289F80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Тяжелая промышленность</w:t>
            </w:r>
          </w:p>
          <w:p w14:paraId="4D7BE1D1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Автомобилестроительная промышленность</w:t>
            </w:r>
          </w:p>
          <w:p w14:paraId="2492F37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Легкая промышленность</w:t>
            </w:r>
          </w:p>
          <w:p w14:paraId="34938662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Фармацевтическая промышленность</w:t>
            </w:r>
          </w:p>
          <w:p w14:paraId="1A972922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Нефтехимическая промышленность</w:t>
            </w:r>
          </w:p>
          <w:p w14:paraId="3411B46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Энергетика</w:t>
            </w:r>
          </w:p>
          <w:p w14:paraId="2643807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Связь</w:t>
            </w:r>
          </w:p>
          <w:p w14:paraId="06A4C215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Склады</w:t>
            </w:r>
          </w:p>
          <w:p w14:paraId="79B65978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Целлюлозно-бумажная промышленность</w:t>
            </w:r>
          </w:p>
          <w:p w14:paraId="6393597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  <w:p w14:paraId="26DCE4D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Научно-производственная деятельность</w:t>
            </w:r>
          </w:p>
          <w:p w14:paraId="0344743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Амбулаторно-поликлиническое обслуживание</w:t>
            </w:r>
          </w:p>
          <w:p w14:paraId="742BF0FE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Среднее и высшее профессиональное образование</w:t>
            </w:r>
          </w:p>
          <w:p w14:paraId="54C94041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Обеспечение научной деятельности</w:t>
            </w:r>
          </w:p>
          <w:p w14:paraId="47B2D14F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Амбулаторное ветеринарное обслуживание</w:t>
            </w:r>
          </w:p>
          <w:p w14:paraId="3214996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Приюты для животных</w:t>
            </w:r>
          </w:p>
          <w:p w14:paraId="5B4E6FEB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Деловое управление</w:t>
            </w:r>
          </w:p>
          <w:p w14:paraId="6B28603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  <w:p w14:paraId="0700E426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Служебные гаражи</w:t>
            </w:r>
          </w:p>
          <w:p w14:paraId="483D2D24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Заправка транспортных средств</w:t>
            </w:r>
          </w:p>
          <w:p w14:paraId="6DF9A5C7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Автомобильные мойки</w:t>
            </w:r>
          </w:p>
          <w:p w14:paraId="1D59AC1F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Ремонт автомобилей</w:t>
            </w:r>
          </w:p>
          <w:p w14:paraId="142CD93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Железнодорожные пути</w:t>
            </w:r>
          </w:p>
          <w:p w14:paraId="1796A093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Обслуживание перевозок пассажиров</w:t>
            </w:r>
          </w:p>
          <w:p w14:paraId="089AEFB6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Стоянки транспорта общего пользования</w:t>
            </w:r>
          </w:p>
          <w:p w14:paraId="3AEAD775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Обеспечение внутреннего правопорядка</w:t>
            </w:r>
          </w:p>
          <w:p w14:paraId="5E588223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  <w:p w14:paraId="0485625E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 xml:space="preserve">Размещение гаражей для собственных нужд </w:t>
            </w:r>
          </w:p>
          <w:p w14:paraId="0C1B67F9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Оборудованные площадки для занятий спортом</w:t>
            </w:r>
          </w:p>
          <w:p w14:paraId="12707B4D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  <w:p w14:paraId="0036E329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Обеспечение обороны и безопасности</w:t>
            </w:r>
          </w:p>
          <w:p w14:paraId="54B5597C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Специальная деятельность</w:t>
            </w:r>
          </w:p>
          <w:p w14:paraId="4C36CFBA" w14:textId="77777777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Воздушный транспорт</w:t>
            </w:r>
          </w:p>
          <w:p w14:paraId="271D6F67" w14:textId="6DCBE716" w:rsidR="008F589E" w:rsidRPr="009B371B" w:rsidRDefault="008F589E" w:rsidP="0086715C">
            <w:pPr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Стоянка транспортных средств</w:t>
            </w:r>
          </w:p>
          <w:p w14:paraId="29CAB945" w14:textId="2F97840B" w:rsidR="008F589E" w:rsidRPr="009B371B" w:rsidRDefault="008F589E" w:rsidP="009813D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589E" w:rsidRPr="002B14FF" w14:paraId="008D9C7E" w14:textId="77777777" w:rsidTr="008F589E">
        <w:tc>
          <w:tcPr>
            <w:tcW w:w="2456" w:type="dxa"/>
          </w:tcPr>
          <w:p w14:paraId="340688FB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6753" w:type="dxa"/>
          </w:tcPr>
          <w:p w14:paraId="79C1DC66" w14:textId="2E2BA74B" w:rsidR="008F589E" w:rsidRPr="009B371B" w:rsidRDefault="008F589E" w:rsidP="00390C10">
            <w:pPr>
              <w:jc w:val="center"/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нет</w:t>
            </w:r>
          </w:p>
        </w:tc>
      </w:tr>
      <w:tr w:rsidR="008F589E" w:rsidRPr="002B14FF" w14:paraId="1FFA3C96" w14:textId="77777777" w:rsidTr="008F589E">
        <w:tc>
          <w:tcPr>
            <w:tcW w:w="2456" w:type="dxa"/>
          </w:tcPr>
          <w:p w14:paraId="53B92F7E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753" w:type="dxa"/>
          </w:tcPr>
          <w:p w14:paraId="7EF3A4EB" w14:textId="77777777" w:rsidR="008F589E" w:rsidRDefault="008F589E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5288616C" w14:textId="77777777" w:rsidTr="008F589E">
        <w:tc>
          <w:tcPr>
            <w:tcW w:w="9209" w:type="dxa"/>
            <w:gridSpan w:val="2"/>
          </w:tcPr>
          <w:p w14:paraId="0A0A2549" w14:textId="58877D96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8F589E" w:rsidRPr="002B14FF" w14:paraId="0E47B546" w14:textId="77777777" w:rsidTr="008F589E">
        <w:tc>
          <w:tcPr>
            <w:tcW w:w="2456" w:type="dxa"/>
          </w:tcPr>
          <w:p w14:paraId="550E5907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Наименование собственника</w:t>
            </w:r>
          </w:p>
        </w:tc>
        <w:tc>
          <w:tcPr>
            <w:tcW w:w="6753" w:type="dxa"/>
          </w:tcPr>
          <w:p w14:paraId="227A57DB" w14:textId="47CF5154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8F589E" w:rsidRPr="002B14FF" w14:paraId="7EBC8F60" w14:textId="77777777" w:rsidTr="008F589E">
        <w:tc>
          <w:tcPr>
            <w:tcW w:w="2456" w:type="dxa"/>
          </w:tcPr>
          <w:p w14:paraId="70020190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753" w:type="dxa"/>
          </w:tcPr>
          <w:p w14:paraId="1802E7ED" w14:textId="776FF182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8F589E" w:rsidRPr="002B14FF" w14:paraId="3E38772A" w14:textId="77777777" w:rsidTr="008F589E">
        <w:tc>
          <w:tcPr>
            <w:tcW w:w="2456" w:type="dxa"/>
          </w:tcPr>
          <w:p w14:paraId="22D5631E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6753" w:type="dxa"/>
          </w:tcPr>
          <w:p w14:paraId="6F483882" w14:textId="1C90FAF2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8F589E" w:rsidRPr="002B14FF" w14:paraId="48BCB1D2" w14:textId="77777777" w:rsidTr="008F589E">
        <w:tc>
          <w:tcPr>
            <w:tcW w:w="2456" w:type="dxa"/>
          </w:tcPr>
          <w:p w14:paraId="17405370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753" w:type="dxa"/>
          </w:tcPr>
          <w:p w14:paraId="19CDA69D" w14:textId="00F7CCFE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8F589E" w:rsidRPr="002B14FF" w14:paraId="081BE7BA" w14:textId="77777777" w:rsidTr="008F589E">
        <w:tc>
          <w:tcPr>
            <w:tcW w:w="2456" w:type="dxa"/>
          </w:tcPr>
          <w:p w14:paraId="09FEA4C1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753" w:type="dxa"/>
          </w:tcPr>
          <w:p w14:paraId="0903286E" w14:textId="3D7FCCCB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8F589E" w:rsidRPr="002B14FF" w14:paraId="256CEAFB" w14:textId="77777777" w:rsidTr="008F589E">
        <w:tc>
          <w:tcPr>
            <w:tcW w:w="2456" w:type="dxa"/>
          </w:tcPr>
          <w:p w14:paraId="31958757" w14:textId="77777777" w:rsidR="008F589E" w:rsidRPr="002B14FF" w:rsidRDefault="008F589E" w:rsidP="008F589E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6753" w:type="dxa"/>
          </w:tcPr>
          <w:p w14:paraId="5075D3FE" w14:textId="6AE05B24" w:rsidR="008F589E" w:rsidRPr="002B14FF" w:rsidRDefault="008F589E" w:rsidP="008F5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89E" w:rsidRPr="002B14FF" w14:paraId="5702DE83" w14:textId="77777777" w:rsidTr="008F589E">
        <w:tc>
          <w:tcPr>
            <w:tcW w:w="9209" w:type="dxa"/>
            <w:gridSpan w:val="2"/>
          </w:tcPr>
          <w:p w14:paraId="3195DEFC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8F589E" w:rsidRPr="002B14FF" w14:paraId="24EF0B7D" w14:textId="77777777" w:rsidTr="008F589E">
        <w:tc>
          <w:tcPr>
            <w:tcW w:w="2456" w:type="dxa"/>
          </w:tcPr>
          <w:p w14:paraId="241F2A92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6753" w:type="dxa"/>
          </w:tcPr>
          <w:p w14:paraId="78195D45" w14:textId="53A136B5" w:rsidR="008F589E" w:rsidRDefault="00EF5420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F589E">
              <w:rPr>
                <w:rFonts w:ascii="Times New Roman" w:hAnsi="Times New Roman" w:cs="Times New Roman"/>
              </w:rPr>
              <w:t>а</w:t>
            </w:r>
          </w:p>
          <w:p w14:paraId="5AB0FADB" w14:textId="6ABC9C9D" w:rsidR="00EF5420" w:rsidRPr="002B14FF" w:rsidRDefault="00EF5420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водоводу д600 мм в районе объекта, ориентировочное расстояние 150 м.</w:t>
            </w:r>
          </w:p>
        </w:tc>
      </w:tr>
      <w:tr w:rsidR="008F589E" w:rsidRPr="002B14FF" w14:paraId="06475184" w14:textId="77777777" w:rsidTr="008F589E">
        <w:tc>
          <w:tcPr>
            <w:tcW w:w="2456" w:type="dxa"/>
          </w:tcPr>
          <w:p w14:paraId="01987E86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6753" w:type="dxa"/>
          </w:tcPr>
          <w:p w14:paraId="523A926D" w14:textId="1182565B" w:rsidR="008F589E" w:rsidRPr="002B14FF" w:rsidRDefault="004C4C4D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8F589E" w:rsidRPr="002B14FF" w14:paraId="5F95CA48" w14:textId="77777777" w:rsidTr="008F589E">
        <w:tc>
          <w:tcPr>
            <w:tcW w:w="2456" w:type="dxa"/>
          </w:tcPr>
          <w:p w14:paraId="790EEA26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6753" w:type="dxa"/>
          </w:tcPr>
          <w:p w14:paraId="4C39B2A8" w14:textId="0C7A8939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89E" w:rsidRPr="002B14FF" w14:paraId="3DB1FC91" w14:textId="77777777" w:rsidTr="008F589E">
        <w:tc>
          <w:tcPr>
            <w:tcW w:w="2456" w:type="dxa"/>
          </w:tcPr>
          <w:p w14:paraId="107E15E2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6753" w:type="dxa"/>
          </w:tcPr>
          <w:p w14:paraId="501A3DE4" w14:textId="16313308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8F589E" w:rsidRPr="002B14FF" w14:paraId="17A14FD7" w14:textId="77777777" w:rsidTr="008F589E">
        <w:tc>
          <w:tcPr>
            <w:tcW w:w="2456" w:type="dxa"/>
          </w:tcPr>
          <w:p w14:paraId="7033271B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6753" w:type="dxa"/>
          </w:tcPr>
          <w:p w14:paraId="75702E3E" w14:textId="4A7D46D1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3A0DED">
              <w:rPr>
                <w:rFonts w:ascii="Times New Roman" w:hAnsi="Times New Roman" w:cs="Times New Roman"/>
              </w:rPr>
              <w:t xml:space="preserve">По г. Комсомольск-на-Амуре резерв производственных мощностей в системе водоснабжения составляет </w:t>
            </w:r>
            <w:r>
              <w:rPr>
                <w:rFonts w:ascii="Times New Roman" w:hAnsi="Times New Roman" w:cs="Times New Roman"/>
              </w:rPr>
              <w:t>35,95</w:t>
            </w:r>
            <w:r w:rsidRPr="003A0DED">
              <w:rPr>
                <w:rFonts w:ascii="Times New Roman" w:hAnsi="Times New Roman" w:cs="Times New Roman"/>
              </w:rPr>
              <w:t>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8F589E" w:rsidRPr="002B14FF" w14:paraId="10A5303D" w14:textId="77777777" w:rsidTr="008F589E">
        <w:tc>
          <w:tcPr>
            <w:tcW w:w="2456" w:type="dxa"/>
          </w:tcPr>
          <w:p w14:paraId="2280B2AA" w14:textId="77777777" w:rsidR="008F589E" w:rsidRPr="002B14FF" w:rsidRDefault="008F589E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753" w:type="dxa"/>
          </w:tcPr>
          <w:p w14:paraId="3E52E924" w14:textId="3DFD6AB8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Водовод Ø600мм в районе объекта</w:t>
            </w:r>
          </w:p>
        </w:tc>
      </w:tr>
      <w:tr w:rsidR="008F589E" w:rsidRPr="002B14FF" w14:paraId="54C9C9F3" w14:textId="77777777" w:rsidTr="008F589E">
        <w:tc>
          <w:tcPr>
            <w:tcW w:w="2456" w:type="dxa"/>
          </w:tcPr>
          <w:p w14:paraId="2C383BE0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753" w:type="dxa"/>
          </w:tcPr>
          <w:p w14:paraId="045DBE32" w14:textId="4ED12702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1526,04</w:t>
            </w:r>
          </w:p>
        </w:tc>
      </w:tr>
      <w:tr w:rsidR="008F589E" w:rsidRPr="002B14FF" w14:paraId="4F24F298" w14:textId="77777777" w:rsidTr="008F589E">
        <w:tc>
          <w:tcPr>
            <w:tcW w:w="9209" w:type="dxa"/>
            <w:gridSpan w:val="2"/>
          </w:tcPr>
          <w:p w14:paraId="48D02BEC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8F589E" w:rsidRPr="002B14FF" w14:paraId="4B96B0A0" w14:textId="77777777" w:rsidTr="008F589E">
        <w:tc>
          <w:tcPr>
            <w:tcW w:w="2456" w:type="dxa"/>
          </w:tcPr>
          <w:p w14:paraId="577B9EEA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6753" w:type="dxa"/>
          </w:tcPr>
          <w:p w14:paraId="50D06910" w14:textId="599EBE72" w:rsidR="008F589E" w:rsidRDefault="00EF5420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F589E">
              <w:rPr>
                <w:rFonts w:ascii="Times New Roman" w:hAnsi="Times New Roman" w:cs="Times New Roman"/>
              </w:rPr>
              <w:t>а</w:t>
            </w:r>
          </w:p>
          <w:p w14:paraId="3C8C4DDA" w14:textId="66DAE460" w:rsidR="00EF5420" w:rsidRPr="002B14FF" w:rsidRDefault="00EF5420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подключение к канализационному коллектору д1000 мм по Северному шоссе, ориентировочное расстояние 150 м.</w:t>
            </w:r>
          </w:p>
        </w:tc>
      </w:tr>
      <w:tr w:rsidR="008F589E" w:rsidRPr="002B14FF" w14:paraId="4C028776" w14:textId="77777777" w:rsidTr="008F589E">
        <w:tc>
          <w:tcPr>
            <w:tcW w:w="2456" w:type="dxa"/>
          </w:tcPr>
          <w:p w14:paraId="6F02CFCD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6753" w:type="dxa"/>
          </w:tcPr>
          <w:p w14:paraId="59EAD7F8" w14:textId="5FF6356B" w:rsidR="008F589E" w:rsidRPr="002B14FF" w:rsidRDefault="004C4C4D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8F589E" w:rsidRPr="002B14FF" w14:paraId="2DD03385" w14:textId="77777777" w:rsidTr="008F589E">
        <w:tc>
          <w:tcPr>
            <w:tcW w:w="2456" w:type="dxa"/>
          </w:tcPr>
          <w:p w14:paraId="181398A7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6753" w:type="dxa"/>
          </w:tcPr>
          <w:p w14:paraId="42D40FE4" w14:textId="44B4E929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89E" w:rsidRPr="002B14FF" w14:paraId="0FAABB2E" w14:textId="77777777" w:rsidTr="008F589E">
        <w:tc>
          <w:tcPr>
            <w:tcW w:w="2456" w:type="dxa"/>
          </w:tcPr>
          <w:p w14:paraId="27553ED3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6753" w:type="dxa"/>
          </w:tcPr>
          <w:p w14:paraId="0C57DF66" w14:textId="1DD2DDF3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8F589E" w:rsidRPr="002B14FF" w14:paraId="7803C273" w14:textId="77777777" w:rsidTr="008F589E">
        <w:tc>
          <w:tcPr>
            <w:tcW w:w="2456" w:type="dxa"/>
          </w:tcPr>
          <w:p w14:paraId="23DB9FEA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6753" w:type="dxa"/>
          </w:tcPr>
          <w:p w14:paraId="3B92A36F" w14:textId="4604125D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F589E" w:rsidRPr="002B14FF" w14:paraId="6FE7D318" w14:textId="77777777" w:rsidTr="008F589E">
        <w:tc>
          <w:tcPr>
            <w:tcW w:w="2456" w:type="dxa"/>
          </w:tcPr>
          <w:p w14:paraId="43479CA7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Объекты водоотведения Иные характеристики</w:t>
            </w:r>
          </w:p>
        </w:tc>
        <w:tc>
          <w:tcPr>
            <w:tcW w:w="6753" w:type="dxa"/>
          </w:tcPr>
          <w:p w14:paraId="2D519BA5" w14:textId="57E11F66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Канализационный коллектор Ø1000мм по Северному шоссе</w:t>
            </w:r>
          </w:p>
        </w:tc>
      </w:tr>
      <w:tr w:rsidR="008F589E" w:rsidRPr="002B14FF" w14:paraId="47CC40F8" w14:textId="77777777" w:rsidTr="008F589E">
        <w:tc>
          <w:tcPr>
            <w:tcW w:w="2456" w:type="dxa"/>
          </w:tcPr>
          <w:p w14:paraId="2B9A435F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6753" w:type="dxa"/>
          </w:tcPr>
          <w:p w14:paraId="58176376" w14:textId="755FDC23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</w:tc>
      </w:tr>
      <w:tr w:rsidR="008F589E" w:rsidRPr="002B14FF" w14:paraId="55C4BE77" w14:textId="77777777" w:rsidTr="008F589E">
        <w:tc>
          <w:tcPr>
            <w:tcW w:w="9209" w:type="dxa"/>
            <w:gridSpan w:val="2"/>
          </w:tcPr>
          <w:p w14:paraId="4D371F24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8F589E" w:rsidRPr="002B14FF" w14:paraId="31DEF926" w14:textId="77777777" w:rsidTr="008F589E">
        <w:tc>
          <w:tcPr>
            <w:tcW w:w="2456" w:type="dxa"/>
          </w:tcPr>
          <w:p w14:paraId="77CBC9AD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6753" w:type="dxa"/>
          </w:tcPr>
          <w:p w14:paraId="6004D8A6" w14:textId="54FEA2EE" w:rsidR="008F589E" w:rsidRPr="002B14FF" w:rsidRDefault="008F589E" w:rsidP="001F1981">
            <w:pPr>
              <w:jc w:val="center"/>
              <w:rPr>
                <w:rFonts w:ascii="Times New Roman" w:hAnsi="Times New Roman" w:cs="Times New Roman"/>
              </w:rPr>
            </w:pPr>
            <w:r w:rsidRPr="001341F2">
              <w:rPr>
                <w:rFonts w:ascii="Times New Roman" w:hAnsi="Times New Roman" w:cs="Times New Roman"/>
              </w:rPr>
              <w:t>нет</w:t>
            </w:r>
          </w:p>
        </w:tc>
      </w:tr>
      <w:tr w:rsidR="008F589E" w:rsidRPr="002B14FF" w14:paraId="313FC728" w14:textId="77777777" w:rsidTr="008F589E">
        <w:tc>
          <w:tcPr>
            <w:tcW w:w="2456" w:type="dxa"/>
          </w:tcPr>
          <w:p w14:paraId="5208E91E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6753" w:type="dxa"/>
          </w:tcPr>
          <w:p w14:paraId="3AE3F439" w14:textId="612D0F19" w:rsidR="008F589E" w:rsidRPr="002B14FF" w:rsidRDefault="004C4C4D" w:rsidP="004C4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8F589E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8F589E" w:rsidRPr="002B14FF" w14:paraId="0A260C2A" w14:textId="77777777" w:rsidTr="008F589E">
        <w:tc>
          <w:tcPr>
            <w:tcW w:w="2456" w:type="dxa"/>
          </w:tcPr>
          <w:p w14:paraId="76C80E8A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6753" w:type="dxa"/>
          </w:tcPr>
          <w:p w14:paraId="73E2A922" w14:textId="0543AAEC" w:rsidR="008F589E" w:rsidRPr="002B14FF" w:rsidRDefault="008F589E" w:rsidP="004C4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8F589E" w:rsidRPr="002B14FF" w14:paraId="456353D1" w14:textId="77777777" w:rsidTr="008F589E">
        <w:tc>
          <w:tcPr>
            <w:tcW w:w="2456" w:type="dxa"/>
          </w:tcPr>
          <w:p w14:paraId="70AD678B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6753" w:type="dxa"/>
          </w:tcPr>
          <w:p w14:paraId="476A39DB" w14:textId="0D6B30FF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8F589E" w:rsidRPr="002B14FF" w14:paraId="7D076795" w14:textId="77777777" w:rsidTr="008F589E">
        <w:tc>
          <w:tcPr>
            <w:tcW w:w="2456" w:type="dxa"/>
          </w:tcPr>
          <w:p w14:paraId="0E934C2D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6753" w:type="dxa"/>
          </w:tcPr>
          <w:p w14:paraId="43DE0641" w14:textId="06D95CBA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589E" w:rsidRPr="002B14FF" w14:paraId="69736C24" w14:textId="77777777" w:rsidTr="008F589E">
        <w:tc>
          <w:tcPr>
            <w:tcW w:w="2456" w:type="dxa"/>
          </w:tcPr>
          <w:p w14:paraId="201DB43E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753" w:type="dxa"/>
          </w:tcPr>
          <w:p w14:paraId="2E9884C4" w14:textId="7E9A655A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89E" w:rsidRPr="002B14FF" w14:paraId="07F0E1EB" w14:textId="77777777" w:rsidTr="008F589E">
        <w:tc>
          <w:tcPr>
            <w:tcW w:w="2456" w:type="dxa"/>
          </w:tcPr>
          <w:p w14:paraId="0C0883B0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6753" w:type="dxa"/>
          </w:tcPr>
          <w:p w14:paraId="3DB0ABEA" w14:textId="2100A24E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8F589E" w:rsidRPr="002B14FF" w14:paraId="08F0E89F" w14:textId="77777777" w:rsidTr="008F589E">
        <w:tc>
          <w:tcPr>
            <w:tcW w:w="9209" w:type="dxa"/>
            <w:gridSpan w:val="2"/>
          </w:tcPr>
          <w:p w14:paraId="57003412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8F589E" w:rsidRPr="002B14FF" w14:paraId="460B550B" w14:textId="77777777" w:rsidTr="008F589E">
        <w:tc>
          <w:tcPr>
            <w:tcW w:w="2456" w:type="dxa"/>
          </w:tcPr>
          <w:p w14:paraId="1D18CB45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6753" w:type="dxa"/>
          </w:tcPr>
          <w:p w14:paraId="2A5BE522" w14:textId="77777777" w:rsidR="008F589E" w:rsidRPr="004C4C4D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4C4C4D"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нет</w:t>
            </w:r>
          </w:p>
          <w:p w14:paraId="5B3ACFAF" w14:textId="4EB62DB3" w:rsidR="008F589E" w:rsidRPr="004C4C4D" w:rsidRDefault="00EF5420" w:rsidP="001F1981">
            <w:pPr>
              <w:jc w:val="center"/>
              <w:rPr>
                <w:rFonts w:ascii="Times New Roman" w:hAnsi="Times New Roman" w:cs="Times New Roman"/>
              </w:rPr>
            </w:pPr>
            <w:r w:rsidRPr="004C4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D09">
              <w:rPr>
                <w:rFonts w:ascii="Times New Roman" w:hAnsi="Times New Roman" w:cs="Times New Roman"/>
                <w:sz w:val="24"/>
                <w:szCs w:val="24"/>
              </w:rPr>
              <w:t>по состоянию на 17.06.2025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ближайшей опоры ВЛ-6 кВ, 300 м</w:t>
            </w:r>
            <w:r w:rsidRPr="004C4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589E" w:rsidRPr="002B14FF" w14:paraId="417A83B0" w14:textId="77777777" w:rsidTr="008F589E">
        <w:tc>
          <w:tcPr>
            <w:tcW w:w="2456" w:type="dxa"/>
          </w:tcPr>
          <w:p w14:paraId="3BCA7404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753" w:type="dxa"/>
          </w:tcPr>
          <w:p w14:paraId="60D1A24E" w14:textId="7578BE0C" w:rsidR="008F589E" w:rsidRPr="004C4C4D" w:rsidRDefault="004C4C4D" w:rsidP="004C4C4D">
            <w:pPr>
              <w:jc w:val="center"/>
              <w:rPr>
                <w:rFonts w:ascii="Times New Roman" w:hAnsi="Times New Roman" w:cs="Times New Roman"/>
              </w:rPr>
            </w:pPr>
            <w:r w:rsidRPr="004C4C4D"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8700</w:t>
            </w:r>
          </w:p>
        </w:tc>
      </w:tr>
      <w:tr w:rsidR="008F589E" w:rsidRPr="002B14FF" w14:paraId="76191546" w14:textId="77777777" w:rsidTr="008F589E">
        <w:tc>
          <w:tcPr>
            <w:tcW w:w="2456" w:type="dxa"/>
          </w:tcPr>
          <w:p w14:paraId="141AD5E0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6753" w:type="dxa"/>
          </w:tcPr>
          <w:p w14:paraId="5FE99A55" w14:textId="77777777" w:rsidR="008F589E" w:rsidRDefault="008F589E" w:rsidP="00A01343">
            <w:pPr>
              <w:spacing w:line="240" w:lineRule="exact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Для МУ ППЭС установлен двуставочный тариф:</w:t>
            </w:r>
          </w:p>
          <w:p w14:paraId="1FD28F50" w14:textId="77777777" w:rsidR="008F589E" w:rsidRDefault="008F589E" w:rsidP="00A01343">
            <w:pPr>
              <w:spacing w:line="240" w:lineRule="exact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1-плата за услуги на содержание сетей – 622413,96 руб/мес за 1 МВт</w:t>
            </w:r>
          </w:p>
          <w:p w14:paraId="648BAB2B" w14:textId="6BD0C122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8F589E" w:rsidRPr="002B14FF" w14:paraId="67810F64" w14:textId="77777777" w:rsidTr="008F589E">
        <w:tc>
          <w:tcPr>
            <w:tcW w:w="2456" w:type="dxa"/>
          </w:tcPr>
          <w:p w14:paraId="3B520741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6753" w:type="dxa"/>
          </w:tcPr>
          <w:p w14:paraId="61FD391C" w14:textId="77777777" w:rsidR="008F589E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14:paraId="4A84DD42" w14:textId="77777777" w:rsidR="008F589E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0,5</w:t>
            </w:r>
          </w:p>
          <w:p w14:paraId="54ED26F2" w14:textId="66291101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(единица измерения максимальной мощности – МВт)</w:t>
            </w:r>
          </w:p>
        </w:tc>
      </w:tr>
      <w:tr w:rsidR="008F589E" w:rsidRPr="002B14FF" w14:paraId="521AAED7" w14:textId="77777777" w:rsidTr="008F589E">
        <w:tc>
          <w:tcPr>
            <w:tcW w:w="2456" w:type="dxa"/>
          </w:tcPr>
          <w:p w14:paraId="5D385408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6753" w:type="dxa"/>
          </w:tcPr>
          <w:p w14:paraId="166A751B" w14:textId="77777777" w:rsidR="008F589E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14:paraId="0D1B4143" w14:textId="77777777" w:rsidR="008F589E" w:rsidRPr="006270DC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6270DC"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0</w:t>
            </w:r>
          </w:p>
          <w:p w14:paraId="54FC958A" w14:textId="69A36082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8F589E" w:rsidRPr="002B14FF" w14:paraId="5DCFB4FC" w14:textId="77777777" w:rsidTr="008F589E">
        <w:tc>
          <w:tcPr>
            <w:tcW w:w="2456" w:type="dxa"/>
          </w:tcPr>
          <w:p w14:paraId="64B25461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Объекты электроснабжения Иные характеристики</w:t>
            </w:r>
          </w:p>
        </w:tc>
        <w:tc>
          <w:tcPr>
            <w:tcW w:w="6753" w:type="dxa"/>
          </w:tcPr>
          <w:p w14:paraId="74F997A9" w14:textId="77777777" w:rsidR="008F589E" w:rsidRDefault="008F589E" w:rsidP="00A01343">
            <w:pPr>
              <w:spacing w:line="240" w:lineRule="exact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EB42A2"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Централизованное электроснабжение</w:t>
            </w:r>
          </w:p>
          <w:p w14:paraId="285C0B1F" w14:textId="263C1918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(после строительства ТП-6/0,4 кВ; ЛЭП-6/0,4 кВ, категория надежности-2, 3)</w:t>
            </w:r>
          </w:p>
        </w:tc>
      </w:tr>
      <w:tr w:rsidR="008F589E" w:rsidRPr="002B14FF" w14:paraId="0E8683E7" w14:textId="77777777" w:rsidTr="008F589E">
        <w:tc>
          <w:tcPr>
            <w:tcW w:w="2456" w:type="dxa"/>
          </w:tcPr>
          <w:p w14:paraId="045F10AD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6753" w:type="dxa"/>
          </w:tcPr>
          <w:p w14:paraId="69B26161" w14:textId="77777777" w:rsidR="008F589E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14:paraId="7B4EC264" w14:textId="77777777" w:rsidR="008F589E" w:rsidRDefault="008F589E" w:rsidP="00A01343">
            <w:pPr>
              <w:spacing w:line="240" w:lineRule="exact"/>
              <w:jc w:val="center"/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0</w:t>
            </w:r>
          </w:p>
          <w:p w14:paraId="4E0F6A41" w14:textId="178475B6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  <w:r w:rsidRPr="00A632D1">
              <w:rPr>
                <w:rStyle w:val="js-languag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До земельного участка электросетей нет (требуется строительство)</w:t>
            </w:r>
          </w:p>
        </w:tc>
      </w:tr>
      <w:tr w:rsidR="008F589E" w:rsidRPr="002B14FF" w14:paraId="741C4291" w14:textId="77777777" w:rsidTr="008F589E">
        <w:tc>
          <w:tcPr>
            <w:tcW w:w="9209" w:type="dxa"/>
            <w:gridSpan w:val="2"/>
          </w:tcPr>
          <w:p w14:paraId="0710FA19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8F589E" w:rsidRPr="002B14FF" w14:paraId="5F4604C2" w14:textId="77777777" w:rsidTr="008F589E">
        <w:tc>
          <w:tcPr>
            <w:tcW w:w="2456" w:type="dxa"/>
          </w:tcPr>
          <w:p w14:paraId="7B32BA6B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6753" w:type="dxa"/>
          </w:tcPr>
          <w:p w14:paraId="0E79DB18" w14:textId="1824B67D" w:rsidR="008F589E" w:rsidRDefault="00222A50" w:rsidP="00244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42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14:paraId="6426A3EA" w14:textId="53799F2B" w:rsidR="00222A50" w:rsidRPr="002B14FF" w:rsidRDefault="00222A50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8F589E" w:rsidRPr="002B14FF" w14:paraId="0A6D723D" w14:textId="77777777" w:rsidTr="008F589E">
        <w:tc>
          <w:tcPr>
            <w:tcW w:w="2456" w:type="dxa"/>
          </w:tcPr>
          <w:p w14:paraId="1C317CCA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753" w:type="dxa"/>
          </w:tcPr>
          <w:p w14:paraId="318D23F4" w14:textId="5896AACA" w:rsidR="008F589E" w:rsidRPr="002B14FF" w:rsidRDefault="004C4C4D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2952,7</w:t>
            </w:r>
          </w:p>
        </w:tc>
      </w:tr>
      <w:tr w:rsidR="008F589E" w:rsidRPr="002B14FF" w14:paraId="737AC1D4" w14:textId="77777777" w:rsidTr="008F589E">
        <w:tc>
          <w:tcPr>
            <w:tcW w:w="2456" w:type="dxa"/>
          </w:tcPr>
          <w:p w14:paraId="23C4380C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6753" w:type="dxa"/>
          </w:tcPr>
          <w:p w14:paraId="39A6EC71" w14:textId="0A5CE229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589E" w:rsidRPr="002B14FF" w14:paraId="2C3AD083" w14:textId="77777777" w:rsidTr="008F589E">
        <w:tc>
          <w:tcPr>
            <w:tcW w:w="2456" w:type="dxa"/>
          </w:tcPr>
          <w:p w14:paraId="476ACA8A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6753" w:type="dxa"/>
          </w:tcPr>
          <w:p w14:paraId="66E8F8F5" w14:textId="10A599DE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Устанавливается заявителем</w:t>
            </w:r>
          </w:p>
        </w:tc>
      </w:tr>
      <w:tr w:rsidR="008F589E" w:rsidRPr="002B14FF" w14:paraId="193F5075" w14:textId="77777777" w:rsidTr="008F589E">
        <w:tc>
          <w:tcPr>
            <w:tcW w:w="2456" w:type="dxa"/>
          </w:tcPr>
          <w:p w14:paraId="675DFE04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6753" w:type="dxa"/>
          </w:tcPr>
          <w:p w14:paraId="4AC51CD2" w14:textId="77777777" w:rsidR="008F589E" w:rsidRPr="00E619CF" w:rsidRDefault="00E06BDB" w:rsidP="00244E6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F589E" w:rsidRPr="00E619C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https://invest.kmscity.ru/</w:t>
              </w:r>
            </w:hyperlink>
          </w:p>
          <w:p w14:paraId="06EF7777" w14:textId="77777777" w:rsidR="008F589E" w:rsidRPr="00E619CF" w:rsidRDefault="008F589E" w:rsidP="00244E6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infrastructure/communal</w:t>
            </w:r>
          </w:p>
          <w:p w14:paraId="1BE6C3C9" w14:textId="2BC6B52C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</w:rPr>
              <w:t>/available-capacities/</w:t>
            </w:r>
          </w:p>
        </w:tc>
      </w:tr>
      <w:tr w:rsidR="008F589E" w:rsidRPr="002B14FF" w14:paraId="36847666" w14:textId="77777777" w:rsidTr="008F589E">
        <w:tc>
          <w:tcPr>
            <w:tcW w:w="2456" w:type="dxa"/>
          </w:tcPr>
          <w:p w14:paraId="2CFE4E87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753" w:type="dxa"/>
          </w:tcPr>
          <w:p w14:paraId="33176976" w14:textId="6F0F9832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Централизованное теплоснабжение</w:t>
            </w:r>
          </w:p>
        </w:tc>
      </w:tr>
      <w:tr w:rsidR="008F589E" w:rsidRPr="002B14FF" w14:paraId="2CD3D562" w14:textId="77777777" w:rsidTr="008F589E">
        <w:tc>
          <w:tcPr>
            <w:tcW w:w="2456" w:type="dxa"/>
          </w:tcPr>
          <w:p w14:paraId="12BEEE2A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6753" w:type="dxa"/>
          </w:tcPr>
          <w:p w14:paraId="41C38332" w14:textId="1994BE6C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Определяется заявителем</w:t>
            </w:r>
          </w:p>
        </w:tc>
      </w:tr>
      <w:tr w:rsidR="008F589E" w:rsidRPr="002B14FF" w14:paraId="09A09E67" w14:textId="77777777" w:rsidTr="008F589E">
        <w:tc>
          <w:tcPr>
            <w:tcW w:w="9209" w:type="dxa"/>
            <w:gridSpan w:val="2"/>
          </w:tcPr>
          <w:p w14:paraId="25ACA5A8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8F589E" w:rsidRPr="002B14FF" w14:paraId="6BE0CD61" w14:textId="77777777" w:rsidTr="008F589E">
        <w:tc>
          <w:tcPr>
            <w:tcW w:w="2456" w:type="dxa"/>
          </w:tcPr>
          <w:p w14:paraId="71E987FE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753" w:type="dxa"/>
          </w:tcPr>
          <w:p w14:paraId="27130C6B" w14:textId="2772D06B" w:rsidR="008F589E" w:rsidRPr="002B14FF" w:rsidRDefault="008F589E" w:rsidP="00244E64">
            <w:pPr>
              <w:jc w:val="center"/>
              <w:rPr>
                <w:rFonts w:ascii="Times New Roman" w:hAnsi="Times New Roman" w:cs="Times New Roman"/>
              </w:rPr>
            </w:pPr>
            <w:r w:rsidRPr="004C3C9C">
              <w:rPr>
                <w:rFonts w:ascii="Times New Roman" w:hAnsi="Times New Roman" w:cs="Times New Roman"/>
              </w:rPr>
              <w:t>Да</w:t>
            </w:r>
          </w:p>
        </w:tc>
      </w:tr>
      <w:tr w:rsidR="008F589E" w:rsidRPr="002B14FF" w14:paraId="5D2DE7D1" w14:textId="77777777" w:rsidTr="008F589E">
        <w:tc>
          <w:tcPr>
            <w:tcW w:w="2456" w:type="dxa"/>
          </w:tcPr>
          <w:p w14:paraId="2A33F003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753" w:type="dxa"/>
          </w:tcPr>
          <w:p w14:paraId="258B5A9D" w14:textId="1E44D547" w:rsidR="008F589E" w:rsidRPr="002B14FF" w:rsidRDefault="004C4C4D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8F589E" w:rsidRPr="002B14FF" w14:paraId="0BC62507" w14:textId="77777777" w:rsidTr="008F589E">
        <w:tc>
          <w:tcPr>
            <w:tcW w:w="2456" w:type="dxa"/>
          </w:tcPr>
          <w:p w14:paraId="45231F75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6753" w:type="dxa"/>
          </w:tcPr>
          <w:p w14:paraId="6F7A9FDF" w14:textId="461F6F8B" w:rsidR="008F589E" w:rsidRPr="002B14FF" w:rsidRDefault="004C4C4D" w:rsidP="00244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8F589E" w:rsidRPr="002B14FF" w14:paraId="1D64B37F" w14:textId="77777777" w:rsidTr="008F589E">
        <w:tc>
          <w:tcPr>
            <w:tcW w:w="9209" w:type="dxa"/>
            <w:gridSpan w:val="2"/>
          </w:tcPr>
          <w:p w14:paraId="48E63CC4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8F589E" w:rsidRPr="002B14FF" w14:paraId="31DE39AF" w14:textId="77777777" w:rsidTr="008F589E">
        <w:tc>
          <w:tcPr>
            <w:tcW w:w="2456" w:type="dxa"/>
          </w:tcPr>
          <w:p w14:paraId="3B46E382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753" w:type="dxa"/>
          </w:tcPr>
          <w:p w14:paraId="2992B9EF" w14:textId="652D7DA8" w:rsidR="008F589E" w:rsidRPr="002B14FF" w:rsidRDefault="008F589E" w:rsidP="009B3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589E" w:rsidRPr="002B14FF" w14:paraId="3B7A70CE" w14:textId="77777777" w:rsidTr="008F589E">
        <w:tc>
          <w:tcPr>
            <w:tcW w:w="2456" w:type="dxa"/>
          </w:tcPr>
          <w:p w14:paraId="3557AEF0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753" w:type="dxa"/>
          </w:tcPr>
          <w:p w14:paraId="7FDF0826" w14:textId="1D3A6FB9" w:rsidR="008F589E" w:rsidRPr="002B14FF" w:rsidRDefault="008F589E" w:rsidP="009B3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589E" w:rsidRPr="002B14FF" w14:paraId="55CB819D" w14:textId="77777777" w:rsidTr="008F589E">
        <w:tc>
          <w:tcPr>
            <w:tcW w:w="2456" w:type="dxa"/>
          </w:tcPr>
          <w:p w14:paraId="634669A6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6753" w:type="dxa"/>
          </w:tcPr>
          <w:p w14:paraId="1F4FE4D7" w14:textId="65DCCFF1" w:rsidR="008F589E" w:rsidRPr="002B14FF" w:rsidRDefault="008F589E" w:rsidP="009B3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589E" w:rsidRPr="002B14FF" w14:paraId="47C7A67D" w14:textId="77777777" w:rsidTr="008F589E">
        <w:tc>
          <w:tcPr>
            <w:tcW w:w="2456" w:type="dxa"/>
          </w:tcPr>
          <w:p w14:paraId="7B384EBB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753" w:type="dxa"/>
          </w:tcPr>
          <w:p w14:paraId="3A314EF3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3FD4CD3E" w14:textId="77777777" w:rsidTr="008F589E">
        <w:tc>
          <w:tcPr>
            <w:tcW w:w="9209" w:type="dxa"/>
            <w:gridSpan w:val="2"/>
          </w:tcPr>
          <w:p w14:paraId="348F036A" w14:textId="77777777" w:rsidR="008F589E" w:rsidRPr="002B14FF" w:rsidRDefault="008F589E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8F589E" w:rsidRPr="002B14FF" w14:paraId="69B5C73E" w14:textId="77777777" w:rsidTr="008F589E">
        <w:tc>
          <w:tcPr>
            <w:tcW w:w="2456" w:type="dxa"/>
          </w:tcPr>
          <w:p w14:paraId="61D29F62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6753" w:type="dxa"/>
          </w:tcPr>
          <w:p w14:paraId="6158AA8A" w14:textId="77777777" w:rsidR="008F589E" w:rsidRPr="009B371B" w:rsidRDefault="008F589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8F589E" w:rsidRPr="009B371B" w:rsidRDefault="008F589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8F589E" w:rsidRPr="009B371B" w:rsidRDefault="008F589E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lastRenderedPageBreak/>
              <w:t>3. Проведение аукциона (публикация на сайте, проведение торгов) – КУИ</w:t>
            </w:r>
          </w:p>
          <w:p w14:paraId="3FBB5ECE" w14:textId="565E47D1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8F589E" w:rsidRPr="002B14FF" w14:paraId="67CA380C" w14:textId="77777777" w:rsidTr="008F589E">
        <w:tc>
          <w:tcPr>
            <w:tcW w:w="2456" w:type="dxa"/>
          </w:tcPr>
          <w:p w14:paraId="7DA995B9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Перечень документов, необходимых для подачи заявки</w:t>
            </w:r>
          </w:p>
        </w:tc>
        <w:tc>
          <w:tcPr>
            <w:tcW w:w="6753" w:type="dxa"/>
          </w:tcPr>
          <w:p w14:paraId="6DE1D23D" w14:textId="4C520DDD" w:rsidR="008F589E" w:rsidRPr="009B371B" w:rsidRDefault="008F589E" w:rsidP="00361727">
            <w:pPr>
              <w:rPr>
                <w:rFonts w:ascii="Times New Roman" w:hAnsi="Times New Roman" w:cs="Times New Roman"/>
              </w:rPr>
            </w:pPr>
            <w:r w:rsidRPr="009B371B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8F589E" w:rsidRPr="002B14FF" w14:paraId="7084FA7F" w14:textId="77777777" w:rsidTr="008F589E">
        <w:tc>
          <w:tcPr>
            <w:tcW w:w="2456" w:type="dxa"/>
          </w:tcPr>
          <w:p w14:paraId="53D51533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753" w:type="dxa"/>
          </w:tcPr>
          <w:p w14:paraId="309B347F" w14:textId="02EAA870" w:rsidR="008F589E" w:rsidRPr="00E71599" w:rsidRDefault="00E06BDB" w:rsidP="00361727">
            <w:pPr>
              <w:rPr>
                <w:rStyle w:val="js-language"/>
                <w:color w:val="000000" w:themeColor="text1"/>
                <w:shd w:val="clear" w:color="auto" w:fill="F5F5F5"/>
              </w:rPr>
            </w:pPr>
            <w:hyperlink r:id="rId7" w:history="1">
              <w:r w:rsidR="008F589E" w:rsidRPr="00E71599">
                <w:rPr>
                  <w:rStyle w:val="js-language"/>
                  <w:rFonts w:ascii="Times New Roman" w:hAnsi="Times New Roman" w:cs="Times New Roman"/>
                  <w:color w:val="000000" w:themeColor="text1"/>
                  <w:shd w:val="clear" w:color="auto" w:fill="F5F5F5"/>
                </w:rPr>
                <w:t>kanc@kmscity.ru</w:t>
              </w:r>
            </w:hyperlink>
          </w:p>
        </w:tc>
      </w:tr>
      <w:tr w:rsidR="008F589E" w:rsidRPr="002B14FF" w14:paraId="0B696E21" w14:textId="77777777" w:rsidTr="008F589E">
        <w:tc>
          <w:tcPr>
            <w:tcW w:w="2456" w:type="dxa"/>
          </w:tcPr>
          <w:p w14:paraId="388ABAA5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753" w:type="dxa"/>
          </w:tcPr>
          <w:p w14:paraId="1188F2FD" w14:textId="77777777" w:rsidR="008F589E" w:rsidRPr="00695816" w:rsidRDefault="008F589E" w:rsidP="00695816">
            <w:pPr>
              <w:rPr>
                <w:rFonts w:ascii="Times New Roman" w:hAnsi="Times New Roman" w:cs="Times New Roman"/>
              </w:rPr>
            </w:pPr>
            <w:r w:rsidRPr="00695816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4DDE8EA7" w:rsidR="008F589E" w:rsidRPr="009B371B" w:rsidRDefault="008F589E" w:rsidP="00695816">
            <w:pPr>
              <w:rPr>
                <w:rFonts w:ascii="Times New Roman" w:hAnsi="Times New Roman" w:cs="Times New Roman"/>
              </w:rPr>
            </w:pPr>
            <w:r w:rsidRPr="00695816"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8F589E" w:rsidRPr="002B14FF" w14:paraId="42C55F90" w14:textId="77777777" w:rsidTr="008F589E">
        <w:tc>
          <w:tcPr>
            <w:tcW w:w="2456" w:type="dxa"/>
          </w:tcPr>
          <w:p w14:paraId="66B2A068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753" w:type="dxa"/>
          </w:tcPr>
          <w:p w14:paraId="22BBBE38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2697F868" w14:textId="77777777" w:rsidR="008F589E" w:rsidRPr="009B371B" w:rsidRDefault="008F589E" w:rsidP="00E975D4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6D8947A3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8F589E" w:rsidRPr="009B371B" w:rsidRDefault="008F589E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9B371B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0470526F" w14:textId="6A350D73" w:rsidR="008F589E" w:rsidRPr="009B371B" w:rsidRDefault="008F589E" w:rsidP="008F589E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8F589E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8F589E" w:rsidRPr="002B14FF" w14:paraId="092F0471" w14:textId="77777777" w:rsidTr="008F589E">
        <w:tc>
          <w:tcPr>
            <w:tcW w:w="2456" w:type="dxa"/>
          </w:tcPr>
          <w:p w14:paraId="28EFE457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6753" w:type="dxa"/>
            <w:shd w:val="clear" w:color="auto" w:fill="auto"/>
          </w:tcPr>
          <w:p w14:paraId="2552F432" w14:textId="23F1EF04" w:rsidR="008F589E" w:rsidRPr="00287179" w:rsidRDefault="008F589E" w:rsidP="00D05DEF">
            <w:pPr>
              <w:spacing w:line="240" w:lineRule="atLeast"/>
              <w:rPr>
                <w:rFonts w:ascii="Times New Roman" w:eastAsia="Times New Roman" w:hAnsi="Times New Roman" w:cs="Times New Roman"/>
                <w:color w:val="FF0000"/>
              </w:rPr>
            </w:pPr>
            <w:r w:rsidRPr="00D96A3C">
              <w:rPr>
                <w:rFonts w:ascii="Times New Roman" w:eastAsia="Times New Roman" w:hAnsi="Times New Roman" w:cs="Times New Roman"/>
              </w:rPr>
              <w:t>Участок расположен в зоне размещения объектов производственного и коммунально-складского назначения  (ПК-1)</w:t>
            </w:r>
          </w:p>
        </w:tc>
      </w:tr>
      <w:tr w:rsidR="008F589E" w:rsidRPr="002B14FF" w14:paraId="741E7B5A" w14:textId="77777777" w:rsidTr="008F589E">
        <w:tc>
          <w:tcPr>
            <w:tcW w:w="2456" w:type="dxa"/>
          </w:tcPr>
          <w:p w14:paraId="6BCA291B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753" w:type="dxa"/>
          </w:tcPr>
          <w:p w14:paraId="4597EAA4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74F3E15F" w14:textId="77777777" w:rsidTr="008F589E">
        <w:tc>
          <w:tcPr>
            <w:tcW w:w="2456" w:type="dxa"/>
          </w:tcPr>
          <w:p w14:paraId="506F24EE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753" w:type="dxa"/>
          </w:tcPr>
          <w:p w14:paraId="52E89467" w14:textId="77777777" w:rsidR="008F589E" w:rsidRPr="002B14FF" w:rsidRDefault="008F589E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8F589E" w:rsidRPr="002B14FF" w:rsidRDefault="008F589E" w:rsidP="00361727">
            <w:pPr>
              <w:pStyle w:val="TableParagraph"/>
              <w:spacing w:line="261" w:lineRule="exact"/>
              <w:ind w:left="104"/>
            </w:pPr>
            <w:r w:rsidRPr="002B14FF">
              <w:t>.jpeg,</w:t>
            </w:r>
            <w:r w:rsidRPr="002B14FF">
              <w:rPr>
                <w:spacing w:val="-1"/>
              </w:rPr>
              <w:t xml:space="preserve"> </w:t>
            </w:r>
            <w:r w:rsidRPr="002B14FF">
              <w:t>.png</w:t>
            </w:r>
          </w:p>
        </w:tc>
      </w:tr>
      <w:tr w:rsidR="008F589E" w:rsidRPr="002B14FF" w14:paraId="0246AB26" w14:textId="77777777" w:rsidTr="008F589E">
        <w:tc>
          <w:tcPr>
            <w:tcW w:w="2456" w:type="dxa"/>
          </w:tcPr>
          <w:p w14:paraId="4B19E928" w14:textId="77777777" w:rsidR="008F589E" w:rsidRPr="002B14FF" w:rsidRDefault="008F589E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6753" w:type="dxa"/>
          </w:tcPr>
          <w:p w14:paraId="3C126FE2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F589E" w:rsidRPr="002B14FF" w14:paraId="5A102D79" w14:textId="77777777" w:rsidTr="008F589E">
        <w:tc>
          <w:tcPr>
            <w:tcW w:w="2456" w:type="dxa"/>
          </w:tcPr>
          <w:p w14:paraId="6C2081F5" w14:textId="77777777" w:rsidR="008F589E" w:rsidRPr="002B14FF" w:rsidRDefault="008F589E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6753" w:type="dxa"/>
          </w:tcPr>
          <w:p w14:paraId="362673D7" w14:textId="77777777" w:rsidR="008F589E" w:rsidRPr="002B14FF" w:rsidRDefault="008F589E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608525E1" w:rsidR="00844AA7" w:rsidRDefault="00844AA7"/>
    <w:p w14:paraId="256B2178" w14:textId="77777777" w:rsidR="00844AA7" w:rsidRPr="00844AA7" w:rsidRDefault="00844AA7" w:rsidP="00844AA7"/>
    <w:p w14:paraId="1AFC5C77" w14:textId="77777777" w:rsidR="00844AA7" w:rsidRPr="00844AA7" w:rsidRDefault="00844AA7" w:rsidP="00844AA7"/>
    <w:p w14:paraId="20C4BDD6" w14:textId="77777777" w:rsidR="00844AA7" w:rsidRPr="00844AA7" w:rsidRDefault="00844AA7" w:rsidP="00844AA7"/>
    <w:p w14:paraId="1C6D0DF5" w14:textId="77777777" w:rsidR="00844AA7" w:rsidRPr="00844AA7" w:rsidRDefault="00844AA7" w:rsidP="00844AA7"/>
    <w:p w14:paraId="6F0B1C5A" w14:textId="1EBD3A7C" w:rsidR="00844AA7" w:rsidRDefault="00844AA7" w:rsidP="00844AA7"/>
    <w:p w14:paraId="5C796FA7" w14:textId="77777777" w:rsidR="000D03E0" w:rsidRDefault="000D03E0" w:rsidP="00844AA7">
      <w:pPr>
        <w:jc w:val="center"/>
      </w:pPr>
    </w:p>
    <w:p w14:paraId="39BD33E2" w14:textId="77777777" w:rsidR="00844AA7" w:rsidRDefault="00844AA7" w:rsidP="00844AA7">
      <w:pPr>
        <w:jc w:val="center"/>
      </w:pPr>
    </w:p>
    <w:p w14:paraId="2A7C3341" w14:textId="77777777" w:rsidR="00844AA7" w:rsidRDefault="00844AA7" w:rsidP="00844AA7">
      <w:pPr>
        <w:jc w:val="center"/>
      </w:pPr>
    </w:p>
    <w:p w14:paraId="79C70965" w14:textId="77777777" w:rsidR="00844AA7" w:rsidRDefault="00844AA7" w:rsidP="00844AA7">
      <w:pPr>
        <w:jc w:val="center"/>
      </w:pPr>
    </w:p>
    <w:p w14:paraId="6322322E" w14:textId="77777777" w:rsidR="009B371B" w:rsidRDefault="009B371B" w:rsidP="00844AA7">
      <w:pPr>
        <w:jc w:val="center"/>
      </w:pPr>
    </w:p>
    <w:p w14:paraId="31EC028D" w14:textId="77777777" w:rsidR="009B371B" w:rsidRDefault="009B371B" w:rsidP="00844AA7">
      <w:pPr>
        <w:jc w:val="center"/>
      </w:pPr>
    </w:p>
    <w:p w14:paraId="65E8DEC0" w14:textId="2EC014F9" w:rsidR="00844AA7" w:rsidRDefault="00844AA7" w:rsidP="00844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AA7">
        <w:rPr>
          <w:rFonts w:ascii="Times New Roman" w:hAnsi="Times New Roman" w:cs="Times New Roman"/>
          <w:sz w:val="28"/>
          <w:szCs w:val="28"/>
        </w:rPr>
        <w:t>Обзорная схема</w:t>
      </w:r>
    </w:p>
    <w:p w14:paraId="52FF5BF2" w14:textId="77777777" w:rsidR="009B371B" w:rsidRPr="00844AA7" w:rsidRDefault="009B371B" w:rsidP="00844A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64AC3" w14:textId="77777777" w:rsidR="00844AA7" w:rsidRDefault="00844AA7" w:rsidP="00844AA7">
      <w:pPr>
        <w:jc w:val="center"/>
      </w:pPr>
    </w:p>
    <w:p w14:paraId="395EDA9B" w14:textId="695077CA" w:rsidR="00844AA7" w:rsidRDefault="00844AA7" w:rsidP="00844AA7">
      <w:pPr>
        <w:jc w:val="center"/>
      </w:pPr>
      <w:r>
        <w:rPr>
          <w:noProof/>
          <w:lang w:eastAsia="ru-RU"/>
        </w:rPr>
        <w:drawing>
          <wp:inline distT="0" distB="0" distL="0" distR="0" wp14:anchorId="39151439" wp14:editId="5F531B74">
            <wp:extent cx="5304703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03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35E4" w14:textId="77777777" w:rsidR="00844AA7" w:rsidRDefault="00844AA7" w:rsidP="00844AA7">
      <w:pPr>
        <w:jc w:val="center"/>
      </w:pPr>
    </w:p>
    <w:p w14:paraId="08212D8B" w14:textId="77777777" w:rsidR="00844AA7" w:rsidRDefault="00844AA7" w:rsidP="00844AA7">
      <w:pPr>
        <w:jc w:val="center"/>
      </w:pPr>
    </w:p>
    <w:p w14:paraId="7BDCEC6F" w14:textId="77777777" w:rsidR="00844AA7" w:rsidRDefault="00844AA7" w:rsidP="00844AA7">
      <w:pPr>
        <w:jc w:val="center"/>
      </w:pPr>
    </w:p>
    <w:p w14:paraId="65674E57" w14:textId="77777777" w:rsidR="00844AA7" w:rsidRPr="00844AA7" w:rsidRDefault="00844AA7" w:rsidP="00844AA7">
      <w:pPr>
        <w:jc w:val="center"/>
      </w:pPr>
    </w:p>
    <w:sectPr w:rsidR="00844AA7" w:rsidRPr="0084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7376D"/>
    <w:rsid w:val="000D03E0"/>
    <w:rsid w:val="001331D1"/>
    <w:rsid w:val="00162822"/>
    <w:rsid w:val="001C2EAB"/>
    <w:rsid w:val="001F1981"/>
    <w:rsid w:val="00222A50"/>
    <w:rsid w:val="00226FAE"/>
    <w:rsid w:val="00244E64"/>
    <w:rsid w:val="00253F8C"/>
    <w:rsid w:val="002703A3"/>
    <w:rsid w:val="00287179"/>
    <w:rsid w:val="002B14FF"/>
    <w:rsid w:val="002F5085"/>
    <w:rsid w:val="00361727"/>
    <w:rsid w:val="00390C10"/>
    <w:rsid w:val="00492307"/>
    <w:rsid w:val="004C0773"/>
    <w:rsid w:val="004C4C4D"/>
    <w:rsid w:val="0053704A"/>
    <w:rsid w:val="005B12C3"/>
    <w:rsid w:val="005E52A2"/>
    <w:rsid w:val="006151F3"/>
    <w:rsid w:val="0063106C"/>
    <w:rsid w:val="006456A6"/>
    <w:rsid w:val="00676605"/>
    <w:rsid w:val="00695816"/>
    <w:rsid w:val="007C06FD"/>
    <w:rsid w:val="007E2594"/>
    <w:rsid w:val="008263F4"/>
    <w:rsid w:val="00844AA7"/>
    <w:rsid w:val="0086715C"/>
    <w:rsid w:val="008F589E"/>
    <w:rsid w:val="009813D5"/>
    <w:rsid w:val="009B371B"/>
    <w:rsid w:val="009D649E"/>
    <w:rsid w:val="00B06F4C"/>
    <w:rsid w:val="00B703F6"/>
    <w:rsid w:val="00CC2457"/>
    <w:rsid w:val="00D05DEF"/>
    <w:rsid w:val="00D96A3C"/>
    <w:rsid w:val="00E00A8D"/>
    <w:rsid w:val="00E06BDB"/>
    <w:rsid w:val="00E371E8"/>
    <w:rsid w:val="00E71599"/>
    <w:rsid w:val="00E71701"/>
    <w:rsid w:val="00E975D4"/>
    <w:rsid w:val="00EF5420"/>
    <w:rsid w:val="00F74A42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4FA37393-271F-4634-9889-83351FC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84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AA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4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5</cp:revision>
  <cp:lastPrinted>2023-08-14T05:50:00Z</cp:lastPrinted>
  <dcterms:created xsi:type="dcterms:W3CDTF">2025-07-07T05:34:00Z</dcterms:created>
  <dcterms:modified xsi:type="dcterms:W3CDTF">2025-09-02T06:55:00Z</dcterms:modified>
</cp:coreProperties>
</file>